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FB90" w14:textId="77777777" w:rsidR="003A5300" w:rsidRPr="00D45AF5" w:rsidRDefault="00281C59">
      <w:pPr>
        <w:jc w:val="center"/>
        <w:rPr>
          <w:rFonts w:ascii="Arial" w:eastAsia="Arial" w:hAnsi="Arial" w:cs="Arial"/>
          <w:sz w:val="20"/>
          <w:szCs w:val="20"/>
        </w:rPr>
      </w:pPr>
      <w:r w:rsidRPr="00D45AF5">
        <w:rPr>
          <w:rFonts w:ascii="Arial" w:eastAsia="Arial" w:hAnsi="Arial" w:cs="Arial"/>
          <w:b/>
          <w:sz w:val="20"/>
          <w:szCs w:val="20"/>
        </w:rPr>
        <w:t>TERM</w:t>
      </w:r>
      <w:r w:rsidR="00C34DBD">
        <w:rPr>
          <w:rFonts w:ascii="Arial" w:eastAsia="Arial" w:hAnsi="Arial" w:cs="Arial"/>
          <w:b/>
          <w:sz w:val="20"/>
          <w:szCs w:val="20"/>
        </w:rPr>
        <w:t>S OF REFERENCE FOR</w:t>
      </w:r>
      <w:r w:rsidRPr="00D45AF5">
        <w:rPr>
          <w:rFonts w:ascii="Arial" w:eastAsia="Arial" w:hAnsi="Arial" w:cs="Arial"/>
          <w:b/>
          <w:sz w:val="20"/>
          <w:szCs w:val="20"/>
        </w:rPr>
        <w:t xml:space="preserve"> INDIVIDUAL CONSULTANT</w:t>
      </w:r>
      <w:r w:rsidR="008612D8">
        <w:rPr>
          <w:rFonts w:ascii="Arial" w:eastAsia="Arial" w:hAnsi="Arial" w:cs="Arial"/>
          <w:b/>
          <w:sz w:val="20"/>
          <w:szCs w:val="20"/>
        </w:rPr>
        <w:t>-INTERNATIONAL</w:t>
      </w:r>
    </w:p>
    <w:tbl>
      <w:tblPr>
        <w:tblStyle w:val="a"/>
        <w:tblW w:w="10444"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34"/>
        <w:gridCol w:w="8010"/>
      </w:tblGrid>
      <w:tr w:rsidR="003A5300" w:rsidRPr="00D45AF5" w14:paraId="2C22DB3F" w14:textId="77777777" w:rsidTr="00A318B8">
        <w:trPr>
          <w:trHeight w:val="500"/>
        </w:trPr>
        <w:tc>
          <w:tcPr>
            <w:tcW w:w="10444" w:type="dxa"/>
            <w:gridSpan w:val="2"/>
            <w:tcBorders>
              <w:top w:val="single" w:sz="6" w:space="0" w:color="000000"/>
              <w:left w:val="single" w:sz="6" w:space="0" w:color="000000"/>
              <w:bottom w:val="single" w:sz="6" w:space="0" w:color="000000"/>
              <w:right w:val="single" w:sz="6" w:space="0" w:color="000000"/>
            </w:tcBorders>
            <w:shd w:val="clear" w:color="auto" w:fill="E6E6E6"/>
          </w:tcPr>
          <w:p w14:paraId="37149848" w14:textId="77777777" w:rsidR="003A5300" w:rsidRPr="00382E02" w:rsidRDefault="00281C59" w:rsidP="00B46A63">
            <w:pPr>
              <w:widowControl w:val="0"/>
              <w:ind w:left="125" w:right="95"/>
              <w:rPr>
                <w:rFonts w:ascii="Calibri" w:eastAsia="Calibri" w:hAnsi="Calibri" w:cs="Calibri"/>
                <w:b/>
                <w:sz w:val="22"/>
                <w:szCs w:val="22"/>
              </w:rPr>
            </w:pPr>
            <w:r w:rsidRPr="00D45AF5">
              <w:rPr>
                <w:rFonts w:ascii="Calibri" w:eastAsia="Calibri" w:hAnsi="Calibri" w:cs="Calibri"/>
                <w:b/>
                <w:sz w:val="22"/>
                <w:szCs w:val="22"/>
              </w:rPr>
              <w:t xml:space="preserve">TERMS OF REFERENCE FOR </w:t>
            </w:r>
            <w:r w:rsidR="00C176E8">
              <w:rPr>
                <w:rFonts w:ascii="Calibri" w:eastAsia="Calibri" w:hAnsi="Calibri" w:cs="Calibri"/>
                <w:b/>
                <w:sz w:val="22"/>
                <w:szCs w:val="22"/>
              </w:rPr>
              <w:t xml:space="preserve">WOMEN SAFETY AND WELLBEING </w:t>
            </w:r>
            <w:r w:rsidR="00382E02">
              <w:rPr>
                <w:rFonts w:ascii="Calibri" w:eastAsia="Calibri" w:hAnsi="Calibri" w:cs="Calibri"/>
                <w:b/>
                <w:sz w:val="22"/>
                <w:szCs w:val="22"/>
              </w:rPr>
              <w:t>STUDY</w:t>
            </w:r>
            <w:r w:rsidR="00C176E8">
              <w:rPr>
                <w:rFonts w:ascii="Calibri" w:eastAsia="Calibri" w:hAnsi="Calibri" w:cs="Calibri"/>
                <w:b/>
                <w:sz w:val="22"/>
                <w:szCs w:val="22"/>
              </w:rPr>
              <w:t xml:space="preserve"> IN </w:t>
            </w:r>
            <w:r w:rsidR="00382E02">
              <w:rPr>
                <w:rFonts w:ascii="Calibri" w:eastAsia="Calibri" w:hAnsi="Calibri" w:cs="Calibri"/>
                <w:b/>
                <w:sz w:val="22"/>
                <w:szCs w:val="22"/>
              </w:rPr>
              <w:t>K</w:t>
            </w:r>
            <w:r w:rsidR="008612D8">
              <w:rPr>
                <w:rFonts w:ascii="Calibri" w:eastAsia="Calibri" w:hAnsi="Calibri" w:cs="Calibri"/>
                <w:b/>
                <w:sz w:val="22"/>
                <w:szCs w:val="22"/>
              </w:rPr>
              <w:t xml:space="preserve">HYBER </w:t>
            </w:r>
            <w:r w:rsidR="00382E02">
              <w:rPr>
                <w:rFonts w:ascii="Calibri" w:eastAsia="Calibri" w:hAnsi="Calibri" w:cs="Calibri"/>
                <w:b/>
                <w:sz w:val="22"/>
                <w:szCs w:val="22"/>
              </w:rPr>
              <w:t>P</w:t>
            </w:r>
            <w:r w:rsidR="008612D8">
              <w:rPr>
                <w:rFonts w:ascii="Calibri" w:eastAsia="Calibri" w:hAnsi="Calibri" w:cs="Calibri"/>
                <w:b/>
                <w:sz w:val="22"/>
                <w:szCs w:val="22"/>
              </w:rPr>
              <w:t>AKHTUNKWA</w:t>
            </w:r>
            <w:r w:rsidR="00382E02">
              <w:rPr>
                <w:rFonts w:ascii="Calibri" w:eastAsia="Calibri" w:hAnsi="Calibri" w:cs="Calibri"/>
                <w:b/>
                <w:sz w:val="22"/>
                <w:szCs w:val="22"/>
              </w:rPr>
              <w:t xml:space="preserve"> </w:t>
            </w:r>
            <w:r w:rsidR="00C34DBD">
              <w:rPr>
                <w:rFonts w:ascii="Calibri" w:eastAsia="Calibri" w:hAnsi="Calibri" w:cs="Calibri"/>
                <w:b/>
                <w:sz w:val="22"/>
                <w:szCs w:val="22"/>
              </w:rPr>
              <w:t xml:space="preserve">(KP) </w:t>
            </w:r>
            <w:r w:rsidR="00382E02">
              <w:rPr>
                <w:rFonts w:ascii="Calibri" w:eastAsia="Calibri" w:hAnsi="Calibri" w:cs="Calibri"/>
                <w:b/>
                <w:sz w:val="22"/>
                <w:szCs w:val="22"/>
              </w:rPr>
              <w:t xml:space="preserve">AND MERGED DISTRICTS </w:t>
            </w:r>
            <w:r w:rsidR="00B46A63">
              <w:rPr>
                <w:rFonts w:ascii="Calibri" w:eastAsia="Calibri" w:hAnsi="Calibri" w:cs="Calibri"/>
                <w:b/>
                <w:sz w:val="22"/>
                <w:szCs w:val="22"/>
              </w:rPr>
              <w:t xml:space="preserve">: </w:t>
            </w:r>
            <w:r w:rsidR="00A318B8">
              <w:rPr>
                <w:rFonts w:ascii="Calibri" w:eastAsia="Calibri" w:hAnsi="Calibri" w:cs="Calibri"/>
                <w:b/>
                <w:sz w:val="22"/>
                <w:szCs w:val="22"/>
              </w:rPr>
              <w:t>International</w:t>
            </w:r>
            <w:r w:rsidR="00B46A63">
              <w:rPr>
                <w:rFonts w:ascii="Calibri" w:eastAsia="Calibri" w:hAnsi="Calibri" w:cs="Calibri"/>
                <w:b/>
                <w:sz w:val="22"/>
                <w:szCs w:val="22"/>
              </w:rPr>
              <w:t xml:space="preserve"> CONSULTANT FOR RESEARCH ON GBV AND GENDER MAINSTREAMING </w:t>
            </w:r>
          </w:p>
        </w:tc>
      </w:tr>
      <w:tr w:rsidR="003A5300" w:rsidRPr="00D45AF5" w14:paraId="14EC9D8E" w14:textId="77777777" w:rsidTr="00A318B8">
        <w:tc>
          <w:tcPr>
            <w:tcW w:w="2434" w:type="dxa"/>
            <w:tcBorders>
              <w:top w:val="single" w:sz="6" w:space="0" w:color="000000"/>
              <w:left w:val="single" w:sz="6" w:space="0" w:color="000000"/>
              <w:bottom w:val="single" w:sz="4" w:space="0" w:color="000000"/>
            </w:tcBorders>
          </w:tcPr>
          <w:p w14:paraId="5041D89A" w14:textId="77777777" w:rsidR="003A5300" w:rsidRPr="00D45AF5" w:rsidRDefault="00281C59">
            <w:pPr>
              <w:tabs>
                <w:tab w:val="left" w:pos="-720"/>
              </w:tabs>
              <w:spacing w:before="40" w:after="54"/>
              <w:rPr>
                <w:rFonts w:ascii="Calibri" w:eastAsia="Calibri" w:hAnsi="Calibri" w:cs="Calibri"/>
                <w:sz w:val="22"/>
                <w:szCs w:val="22"/>
              </w:rPr>
            </w:pPr>
            <w:r w:rsidRPr="00D45AF5">
              <w:rPr>
                <w:rFonts w:ascii="Calibri" w:eastAsia="Calibri" w:hAnsi="Calibri" w:cs="Calibri"/>
                <w:sz w:val="22"/>
                <w:szCs w:val="22"/>
              </w:rPr>
              <w:t>Hiring Office:</w:t>
            </w:r>
          </w:p>
        </w:tc>
        <w:tc>
          <w:tcPr>
            <w:tcW w:w="8010" w:type="dxa"/>
            <w:tcBorders>
              <w:top w:val="single" w:sz="6" w:space="0" w:color="000000"/>
              <w:left w:val="single" w:sz="6" w:space="0" w:color="000000"/>
              <w:bottom w:val="single" w:sz="4" w:space="0" w:color="000000"/>
              <w:right w:val="single" w:sz="6" w:space="0" w:color="000000"/>
            </w:tcBorders>
          </w:tcPr>
          <w:p w14:paraId="091F6830" w14:textId="77777777" w:rsidR="003A5300" w:rsidRPr="00D45AF5" w:rsidRDefault="00281C59">
            <w:pPr>
              <w:jc w:val="both"/>
              <w:rPr>
                <w:rFonts w:ascii="Calibri" w:eastAsia="Calibri" w:hAnsi="Calibri" w:cs="Calibri"/>
                <w:sz w:val="22"/>
                <w:szCs w:val="22"/>
              </w:rPr>
            </w:pPr>
            <w:r w:rsidRPr="00D45AF5">
              <w:rPr>
                <w:rFonts w:ascii="Calibri" w:eastAsia="Calibri" w:hAnsi="Calibri" w:cs="Calibri"/>
                <w:sz w:val="22"/>
                <w:szCs w:val="22"/>
              </w:rPr>
              <w:t>UNFPA Pakistan Country Office</w:t>
            </w:r>
          </w:p>
        </w:tc>
      </w:tr>
      <w:tr w:rsidR="003A5300" w:rsidRPr="00D45AF5" w14:paraId="7D991C82" w14:textId="77777777" w:rsidTr="00A318B8">
        <w:tc>
          <w:tcPr>
            <w:tcW w:w="2434" w:type="dxa"/>
            <w:tcBorders>
              <w:top w:val="single" w:sz="6" w:space="0" w:color="000000"/>
              <w:left w:val="single" w:sz="6" w:space="0" w:color="000000"/>
              <w:bottom w:val="single" w:sz="6" w:space="0" w:color="000000"/>
            </w:tcBorders>
          </w:tcPr>
          <w:p w14:paraId="54651931" w14:textId="77777777" w:rsidR="003A5300" w:rsidRPr="00D45AF5" w:rsidRDefault="00281C59">
            <w:pPr>
              <w:tabs>
                <w:tab w:val="left" w:pos="-720"/>
              </w:tabs>
              <w:spacing w:before="40" w:after="54"/>
              <w:rPr>
                <w:rFonts w:ascii="Calibri" w:eastAsia="Calibri" w:hAnsi="Calibri" w:cs="Calibri"/>
                <w:sz w:val="22"/>
                <w:szCs w:val="22"/>
              </w:rPr>
            </w:pPr>
            <w:r w:rsidRPr="00D45AF5">
              <w:rPr>
                <w:rFonts w:ascii="Calibri" w:eastAsia="Calibri" w:hAnsi="Calibri" w:cs="Calibri"/>
                <w:sz w:val="22"/>
                <w:szCs w:val="22"/>
              </w:rPr>
              <w:t>Purpose of consultancy:</w:t>
            </w:r>
          </w:p>
        </w:tc>
        <w:tc>
          <w:tcPr>
            <w:tcW w:w="8010" w:type="dxa"/>
            <w:tcBorders>
              <w:top w:val="single" w:sz="6" w:space="0" w:color="000000"/>
              <w:left w:val="single" w:sz="6" w:space="0" w:color="000000"/>
              <w:bottom w:val="single" w:sz="6" w:space="0" w:color="000000"/>
              <w:right w:val="single" w:sz="6" w:space="0" w:color="000000"/>
            </w:tcBorders>
          </w:tcPr>
          <w:p w14:paraId="45844704" w14:textId="77777777" w:rsidR="00C176E8" w:rsidRDefault="00C176E8" w:rsidP="00C176E8">
            <w:pPr>
              <w:jc w:val="both"/>
              <w:rPr>
                <w:rFonts w:asciiTheme="majorHAnsi" w:hAnsiTheme="majorHAnsi"/>
                <w:sz w:val="22"/>
                <w:szCs w:val="22"/>
                <w:lang w:eastAsia="ja-JP"/>
              </w:rPr>
            </w:pPr>
            <w:r w:rsidRPr="000B5239">
              <w:rPr>
                <w:rFonts w:asciiTheme="majorHAnsi" w:hAnsiTheme="majorHAnsi"/>
                <w:sz w:val="22"/>
                <w:szCs w:val="22"/>
                <w:lang w:eastAsia="ja-JP"/>
              </w:rPr>
              <w:t xml:space="preserve">Pakistan faces protracted emergencies and insecurity for more than three decades. Aside from displaced Afghans, it has also temporarily displaced persons including returnees to the north- </w:t>
            </w:r>
            <w:r>
              <w:rPr>
                <w:rFonts w:asciiTheme="majorHAnsi" w:hAnsiTheme="majorHAnsi"/>
                <w:sz w:val="22"/>
                <w:szCs w:val="22"/>
                <w:lang w:eastAsia="ja-JP"/>
              </w:rPr>
              <w:t>west region (merged districts</w:t>
            </w:r>
            <w:r w:rsidRPr="000B5239">
              <w:rPr>
                <w:rFonts w:asciiTheme="majorHAnsi" w:hAnsiTheme="majorHAnsi"/>
                <w:sz w:val="22"/>
                <w:szCs w:val="22"/>
                <w:lang w:eastAsia="ja-JP"/>
              </w:rPr>
              <w:t xml:space="preserve">). </w:t>
            </w:r>
            <w:r>
              <w:rPr>
                <w:rFonts w:asciiTheme="majorHAnsi" w:hAnsiTheme="majorHAnsi"/>
                <w:sz w:val="22"/>
                <w:szCs w:val="22"/>
                <w:lang w:eastAsia="ja-JP"/>
              </w:rPr>
              <w:t xml:space="preserve"> </w:t>
            </w:r>
            <w:r w:rsidRPr="000B5239">
              <w:rPr>
                <w:rFonts w:asciiTheme="majorHAnsi" w:hAnsiTheme="majorHAnsi"/>
                <w:sz w:val="22"/>
                <w:szCs w:val="22"/>
                <w:lang w:eastAsia="ja-JP"/>
              </w:rPr>
              <w:t>The Government of Pakistan over the years has temporarily provided the protection space and access to basic health and education services to Afghan refugees (both documented and undocumented) as well as temporarily displaced and returnees</w:t>
            </w:r>
            <w:r>
              <w:rPr>
                <w:rFonts w:asciiTheme="majorHAnsi" w:hAnsiTheme="majorHAnsi"/>
                <w:sz w:val="22"/>
                <w:szCs w:val="22"/>
                <w:lang w:eastAsia="ja-JP"/>
              </w:rPr>
              <w:t>.</w:t>
            </w:r>
            <w:r w:rsidRPr="000B5239">
              <w:rPr>
                <w:rFonts w:asciiTheme="majorHAnsi" w:hAnsiTheme="majorHAnsi"/>
                <w:sz w:val="22"/>
                <w:szCs w:val="22"/>
                <w:lang w:eastAsia="ja-JP"/>
              </w:rPr>
              <w:t xml:space="preserve"> The return process </w:t>
            </w:r>
            <w:r>
              <w:rPr>
                <w:rFonts w:asciiTheme="majorHAnsi" w:hAnsiTheme="majorHAnsi"/>
                <w:sz w:val="22"/>
                <w:szCs w:val="22"/>
                <w:lang w:eastAsia="ja-JP"/>
              </w:rPr>
              <w:t xml:space="preserve">of internally displaced population is </w:t>
            </w:r>
            <w:r w:rsidRPr="000B5239">
              <w:rPr>
                <w:rFonts w:asciiTheme="majorHAnsi" w:hAnsiTheme="majorHAnsi"/>
                <w:sz w:val="22"/>
                <w:szCs w:val="22"/>
                <w:lang w:eastAsia="ja-JP"/>
              </w:rPr>
              <w:t xml:space="preserve">almost </w:t>
            </w:r>
            <w:r>
              <w:rPr>
                <w:rFonts w:asciiTheme="majorHAnsi" w:hAnsiTheme="majorHAnsi"/>
                <w:sz w:val="22"/>
                <w:szCs w:val="22"/>
                <w:lang w:eastAsia="ja-JP"/>
              </w:rPr>
              <w:t xml:space="preserve">complete (95%: source FDMA July 2018). </w:t>
            </w:r>
          </w:p>
          <w:p w14:paraId="7EA5329A" w14:textId="77777777" w:rsidR="00C176E8" w:rsidRDefault="00C176E8" w:rsidP="00C176E8">
            <w:pPr>
              <w:jc w:val="both"/>
              <w:rPr>
                <w:rFonts w:asciiTheme="majorHAnsi" w:hAnsiTheme="majorHAnsi"/>
                <w:sz w:val="22"/>
                <w:szCs w:val="22"/>
                <w:lang w:eastAsia="ja-JP"/>
              </w:rPr>
            </w:pPr>
          </w:p>
          <w:p w14:paraId="22932918" w14:textId="77777777" w:rsidR="00C176E8" w:rsidRPr="00C94239" w:rsidRDefault="00C176E8" w:rsidP="00C176E8">
            <w:pPr>
              <w:jc w:val="both"/>
              <w:rPr>
                <w:rFonts w:asciiTheme="majorHAnsi" w:hAnsiTheme="majorHAnsi"/>
                <w:sz w:val="22"/>
                <w:szCs w:val="22"/>
                <w:lang w:eastAsia="ja-JP"/>
              </w:rPr>
            </w:pPr>
            <w:r w:rsidRPr="00C94239">
              <w:rPr>
                <w:rFonts w:asciiTheme="majorHAnsi" w:hAnsiTheme="majorHAnsi" w:cstheme="majorHAnsi"/>
                <w:sz w:val="22"/>
                <w:szCs w:val="22"/>
              </w:rPr>
              <w:t>Prolonged displacement,</w:t>
            </w:r>
            <w:r>
              <w:rPr>
                <w:rFonts w:asciiTheme="majorHAnsi" w:hAnsiTheme="majorHAnsi" w:cstheme="majorHAnsi"/>
                <w:sz w:val="22"/>
                <w:szCs w:val="22"/>
              </w:rPr>
              <w:t xml:space="preserve"> isolation, </w:t>
            </w:r>
            <w:r w:rsidRPr="00C94239">
              <w:rPr>
                <w:rFonts w:asciiTheme="majorHAnsi" w:hAnsiTheme="majorHAnsi" w:cstheme="majorHAnsi"/>
                <w:sz w:val="22"/>
                <w:szCs w:val="22"/>
              </w:rPr>
              <w:t>social exclusion and most importantly trauma based on their experiences</w:t>
            </w:r>
            <w:r>
              <w:rPr>
                <w:rFonts w:asciiTheme="majorHAnsi" w:hAnsiTheme="majorHAnsi" w:cstheme="majorHAnsi"/>
                <w:sz w:val="22"/>
                <w:szCs w:val="22"/>
              </w:rPr>
              <w:t xml:space="preserve"> h</w:t>
            </w:r>
            <w:r w:rsidRPr="00C94239">
              <w:rPr>
                <w:rFonts w:asciiTheme="majorHAnsi" w:hAnsiTheme="majorHAnsi" w:cstheme="majorHAnsi"/>
                <w:sz w:val="22"/>
                <w:szCs w:val="22"/>
              </w:rPr>
              <w:t xml:space="preserve">ave increased </w:t>
            </w:r>
            <w:r>
              <w:rPr>
                <w:rFonts w:asciiTheme="majorHAnsi" w:hAnsiTheme="majorHAnsi" w:cstheme="majorHAnsi"/>
                <w:sz w:val="22"/>
                <w:szCs w:val="22"/>
              </w:rPr>
              <w:t>women and girls’</w:t>
            </w:r>
            <w:r w:rsidRPr="00C94239">
              <w:rPr>
                <w:rFonts w:asciiTheme="majorHAnsi" w:hAnsiTheme="majorHAnsi" w:cstheme="majorHAnsi"/>
                <w:sz w:val="22"/>
                <w:szCs w:val="22"/>
              </w:rPr>
              <w:t xml:space="preserve"> vulnerabilities. These issues have also placed </w:t>
            </w:r>
            <w:r>
              <w:rPr>
                <w:rFonts w:asciiTheme="majorHAnsi" w:hAnsiTheme="majorHAnsi" w:cstheme="majorHAnsi"/>
                <w:sz w:val="22"/>
                <w:szCs w:val="22"/>
              </w:rPr>
              <w:t xml:space="preserve">them </w:t>
            </w:r>
            <w:r w:rsidRPr="00C94239">
              <w:rPr>
                <w:rFonts w:asciiTheme="majorHAnsi" w:hAnsiTheme="majorHAnsi" w:cstheme="majorHAnsi"/>
                <w:sz w:val="22"/>
                <w:szCs w:val="22"/>
              </w:rPr>
              <w:t>at a higher risk of mental health problem- ranging from mild to more severe, which require specialized services that are currently lacking in the areas</w:t>
            </w:r>
            <w:r>
              <w:rPr>
                <w:rFonts w:asciiTheme="majorHAnsi" w:hAnsiTheme="majorHAnsi" w:cstheme="majorHAnsi"/>
                <w:sz w:val="22"/>
                <w:szCs w:val="22"/>
              </w:rPr>
              <w:t xml:space="preserve"> where they reside</w:t>
            </w:r>
            <w:r w:rsidRPr="00C94239">
              <w:rPr>
                <w:rFonts w:asciiTheme="majorHAnsi" w:hAnsiTheme="majorHAnsi" w:cstheme="majorHAnsi"/>
                <w:sz w:val="22"/>
                <w:szCs w:val="22"/>
              </w:rPr>
              <w:t xml:space="preserve">. Most of the essential pillars (e.g. police, legal and shelter) of an effective </w:t>
            </w:r>
            <w:r>
              <w:rPr>
                <w:rFonts w:asciiTheme="majorHAnsi" w:hAnsiTheme="majorHAnsi" w:cstheme="majorHAnsi"/>
                <w:sz w:val="22"/>
                <w:szCs w:val="22"/>
              </w:rPr>
              <w:t xml:space="preserve">protection focused </w:t>
            </w:r>
            <w:r w:rsidRPr="00C94239">
              <w:rPr>
                <w:rFonts w:asciiTheme="majorHAnsi" w:hAnsiTheme="majorHAnsi" w:cstheme="majorHAnsi"/>
                <w:sz w:val="22"/>
                <w:szCs w:val="22"/>
              </w:rPr>
              <w:t xml:space="preserve">multi sectoral prevention and response are also inherently lacking in </w:t>
            </w:r>
            <w:r>
              <w:rPr>
                <w:rFonts w:asciiTheme="majorHAnsi" w:hAnsiTheme="majorHAnsi" w:cstheme="majorHAnsi"/>
                <w:sz w:val="22"/>
                <w:szCs w:val="22"/>
              </w:rPr>
              <w:t xml:space="preserve">merged districts </w:t>
            </w:r>
            <w:r w:rsidRPr="00C94239">
              <w:rPr>
                <w:rFonts w:asciiTheme="majorHAnsi" w:hAnsiTheme="majorHAnsi" w:cstheme="majorHAnsi"/>
                <w:sz w:val="22"/>
                <w:szCs w:val="22"/>
              </w:rPr>
              <w:t xml:space="preserve">and in the border area of KP and Baluchistan and hence place complex challenges for women and girls who may in need of these protection related services. </w:t>
            </w:r>
            <w:r>
              <w:rPr>
                <w:rFonts w:asciiTheme="majorHAnsi" w:hAnsiTheme="majorHAnsi"/>
                <w:sz w:val="22"/>
                <w:szCs w:val="22"/>
                <w:lang w:eastAsia="ja-JP"/>
              </w:rPr>
              <w:t xml:space="preserve">In refugee hosting areas, tribal and merged districts </w:t>
            </w:r>
            <w:r w:rsidRPr="00C94239">
              <w:rPr>
                <w:rFonts w:asciiTheme="majorHAnsi" w:hAnsiTheme="majorHAnsi"/>
                <w:sz w:val="22"/>
                <w:szCs w:val="22"/>
                <w:lang w:eastAsia="ja-JP"/>
              </w:rPr>
              <w:t>lack of basic services</w:t>
            </w:r>
            <w:r>
              <w:rPr>
                <w:rFonts w:asciiTheme="majorHAnsi" w:hAnsiTheme="majorHAnsi"/>
                <w:sz w:val="22"/>
                <w:szCs w:val="22"/>
                <w:lang w:eastAsia="ja-JP"/>
              </w:rPr>
              <w:t xml:space="preserve"> as well as institutional and community based mechanisms where women and girls’ dignity are protected are still inadequate and vulnerable to social norms and lack of operational resources. </w:t>
            </w:r>
          </w:p>
          <w:p w14:paraId="029C4DF9" w14:textId="77777777" w:rsidR="00C176E8" w:rsidRPr="00C94239" w:rsidRDefault="00C176E8" w:rsidP="00A15C82">
            <w:pPr>
              <w:jc w:val="both"/>
              <w:rPr>
                <w:rFonts w:asciiTheme="majorHAnsi" w:hAnsiTheme="majorHAnsi" w:cstheme="majorHAnsi"/>
                <w:sz w:val="22"/>
                <w:szCs w:val="22"/>
              </w:rPr>
            </w:pPr>
          </w:p>
          <w:p w14:paraId="4167EB2D" w14:textId="77777777" w:rsidR="006C61F3" w:rsidRDefault="00C176E8" w:rsidP="00A15C82">
            <w:pPr>
              <w:pStyle w:val="ListParagraph"/>
              <w:spacing w:after="0" w:line="240" w:lineRule="auto"/>
              <w:ind w:left="0"/>
              <w:jc w:val="both"/>
              <w:rPr>
                <w:rFonts w:asciiTheme="majorHAnsi" w:hAnsiTheme="majorHAnsi" w:cstheme="majorHAnsi"/>
              </w:rPr>
            </w:pPr>
            <w:r>
              <w:rPr>
                <w:rFonts w:asciiTheme="majorHAnsi" w:hAnsiTheme="majorHAnsi" w:cstheme="majorHAnsi"/>
              </w:rPr>
              <w:t xml:space="preserve">Cognizant of these needs, UNFPA in partnership with the Government of Pakistan is currently implementing a three-year initiative entitled “Provision of Life-Saving maternal and reproductive Health, Protection support Services for women and Girls in Khyber Pakhtunkhwa and </w:t>
            </w:r>
            <w:r w:rsidR="004261A3">
              <w:rPr>
                <w:rFonts w:asciiTheme="majorHAnsi" w:hAnsiTheme="majorHAnsi" w:cstheme="majorHAnsi"/>
              </w:rPr>
              <w:t>Baluchistan</w:t>
            </w:r>
            <w:r>
              <w:rPr>
                <w:rFonts w:asciiTheme="majorHAnsi" w:hAnsiTheme="majorHAnsi" w:cstheme="majorHAnsi"/>
              </w:rPr>
              <w:t>”.</w:t>
            </w:r>
            <w:r w:rsidR="006C61F3">
              <w:rPr>
                <w:rFonts w:asciiTheme="majorHAnsi" w:hAnsiTheme="majorHAnsi" w:cstheme="majorHAnsi"/>
              </w:rPr>
              <w:t xml:space="preserve"> </w:t>
            </w:r>
            <w:r>
              <w:rPr>
                <w:rFonts w:asciiTheme="majorHAnsi" w:hAnsiTheme="majorHAnsi" w:cstheme="majorHAnsi"/>
              </w:rPr>
              <w:t xml:space="preserve">To establish clear baseline of the concerns and needs of women and girls </w:t>
            </w:r>
            <w:r w:rsidR="005D655E">
              <w:rPr>
                <w:rFonts w:asciiTheme="majorHAnsi" w:hAnsiTheme="majorHAnsi" w:cstheme="majorHAnsi"/>
              </w:rPr>
              <w:t>regarding their mental health and well- being and identify response and mitigation mechanisms within the cultural cont</w:t>
            </w:r>
            <w:r w:rsidR="006C61F3">
              <w:rPr>
                <w:rFonts w:asciiTheme="majorHAnsi" w:hAnsiTheme="majorHAnsi" w:cstheme="majorHAnsi"/>
              </w:rPr>
              <w:t>ext of the project areas,</w:t>
            </w:r>
            <w:r>
              <w:rPr>
                <w:rFonts w:asciiTheme="majorHAnsi" w:hAnsiTheme="majorHAnsi" w:cstheme="majorHAnsi"/>
              </w:rPr>
              <w:t xml:space="preserve"> an assessment is being planned to help</w:t>
            </w:r>
            <w:r w:rsidR="000017B7">
              <w:rPr>
                <w:rFonts w:asciiTheme="majorHAnsi" w:hAnsiTheme="majorHAnsi" w:cstheme="majorHAnsi"/>
              </w:rPr>
              <w:t xml:space="preserve"> assess,</w:t>
            </w:r>
            <w:r>
              <w:rPr>
                <w:rFonts w:asciiTheme="majorHAnsi" w:hAnsiTheme="majorHAnsi" w:cstheme="majorHAnsi"/>
              </w:rPr>
              <w:t xml:space="preserve"> </w:t>
            </w:r>
            <w:r w:rsidR="000017B7">
              <w:rPr>
                <w:rFonts w:asciiTheme="majorHAnsi" w:hAnsiTheme="majorHAnsi" w:cstheme="majorHAnsi"/>
              </w:rPr>
              <w:t xml:space="preserve">identify and </w:t>
            </w:r>
            <w:r>
              <w:rPr>
                <w:rFonts w:asciiTheme="majorHAnsi" w:hAnsiTheme="majorHAnsi" w:cstheme="majorHAnsi"/>
              </w:rPr>
              <w:t>design culturally appropriate and well targeted interventions in the provision of psychosocial support; establishment of safe spaces</w:t>
            </w:r>
            <w:r w:rsidR="006C61F3">
              <w:rPr>
                <w:rFonts w:asciiTheme="majorHAnsi" w:hAnsiTheme="majorHAnsi" w:cstheme="majorHAnsi"/>
              </w:rPr>
              <w:t xml:space="preserve">, </w:t>
            </w:r>
            <w:r>
              <w:rPr>
                <w:rFonts w:asciiTheme="majorHAnsi" w:hAnsiTheme="majorHAnsi" w:cstheme="majorHAnsi"/>
              </w:rPr>
              <w:t>strengthening of community based protection systems</w:t>
            </w:r>
            <w:r w:rsidR="006C61F3">
              <w:rPr>
                <w:rFonts w:asciiTheme="majorHAnsi" w:hAnsiTheme="majorHAnsi" w:cstheme="majorHAnsi"/>
              </w:rPr>
              <w:t xml:space="preserve"> and improved and effective referral pathways</w:t>
            </w:r>
            <w:r>
              <w:rPr>
                <w:rFonts w:asciiTheme="majorHAnsi" w:hAnsiTheme="majorHAnsi" w:cstheme="majorHAnsi"/>
              </w:rPr>
              <w:t>.</w:t>
            </w:r>
            <w:r w:rsidR="00DB715D">
              <w:rPr>
                <w:rFonts w:asciiTheme="majorHAnsi" w:hAnsiTheme="majorHAnsi" w:cstheme="majorHAnsi"/>
              </w:rPr>
              <w:t xml:space="preserve"> </w:t>
            </w:r>
          </w:p>
          <w:p w14:paraId="4AB5ED26" w14:textId="77777777" w:rsidR="006C61F3" w:rsidRDefault="006C61F3" w:rsidP="00A15C82">
            <w:pPr>
              <w:pStyle w:val="ListParagraph"/>
              <w:spacing w:after="0" w:line="240" w:lineRule="auto"/>
              <w:ind w:left="0"/>
              <w:jc w:val="both"/>
              <w:rPr>
                <w:rFonts w:asciiTheme="majorHAnsi" w:hAnsiTheme="majorHAnsi" w:cstheme="majorHAnsi"/>
              </w:rPr>
            </w:pPr>
          </w:p>
          <w:p w14:paraId="4057A671" w14:textId="77777777" w:rsidR="003A5300" w:rsidRPr="006C61F3" w:rsidRDefault="00DB715D" w:rsidP="006C61F3">
            <w:pPr>
              <w:pStyle w:val="ListParagraph"/>
              <w:spacing w:after="0" w:line="240" w:lineRule="auto"/>
              <w:ind w:left="0"/>
              <w:jc w:val="both"/>
              <w:rPr>
                <w:rFonts w:asciiTheme="majorHAnsi" w:hAnsiTheme="majorHAnsi" w:cstheme="majorHAnsi"/>
              </w:rPr>
            </w:pPr>
            <w:r>
              <w:rPr>
                <w:rFonts w:asciiTheme="majorHAnsi" w:hAnsiTheme="majorHAnsi" w:cstheme="majorHAnsi"/>
              </w:rPr>
              <w:t>The stu</w:t>
            </w:r>
            <w:r w:rsidR="00FD5E19">
              <w:rPr>
                <w:rFonts w:asciiTheme="majorHAnsi" w:hAnsiTheme="majorHAnsi" w:cstheme="majorHAnsi"/>
              </w:rPr>
              <w:t xml:space="preserve">dy is planned to be conducted in coordination with </w:t>
            </w:r>
            <w:r>
              <w:rPr>
                <w:rFonts w:asciiTheme="majorHAnsi" w:hAnsiTheme="majorHAnsi" w:cstheme="majorHAnsi"/>
              </w:rPr>
              <w:t>Zakat Usher, Social Welfare</w:t>
            </w:r>
            <w:r w:rsidR="00FD5E19">
              <w:rPr>
                <w:rFonts w:asciiTheme="majorHAnsi" w:hAnsiTheme="majorHAnsi" w:cstheme="majorHAnsi"/>
              </w:rPr>
              <w:t xml:space="preserve">, Special Education </w:t>
            </w:r>
            <w:r>
              <w:rPr>
                <w:rFonts w:asciiTheme="majorHAnsi" w:hAnsiTheme="majorHAnsi" w:cstheme="majorHAnsi"/>
              </w:rPr>
              <w:t>and Women Empowerment Department</w:t>
            </w:r>
            <w:r w:rsidR="00FD5E19">
              <w:rPr>
                <w:rFonts w:asciiTheme="majorHAnsi" w:hAnsiTheme="majorHAnsi" w:cstheme="majorHAnsi"/>
              </w:rPr>
              <w:t xml:space="preserve">, </w:t>
            </w:r>
            <w:r>
              <w:rPr>
                <w:rFonts w:asciiTheme="majorHAnsi" w:hAnsiTheme="majorHAnsi" w:cstheme="majorHAnsi"/>
              </w:rPr>
              <w:t xml:space="preserve">Khyber Pakhtunkhwa. </w:t>
            </w:r>
            <w:r w:rsidR="007E2EE5">
              <w:rPr>
                <w:rFonts w:asciiTheme="majorHAnsi" w:hAnsiTheme="majorHAnsi" w:cstheme="majorHAnsi"/>
              </w:rPr>
              <w:t xml:space="preserve">The department will provide overall coordination support to the study, while </w:t>
            </w:r>
            <w:r>
              <w:rPr>
                <w:rFonts w:asciiTheme="majorHAnsi" w:hAnsiTheme="majorHAnsi" w:cstheme="majorHAnsi"/>
              </w:rPr>
              <w:t xml:space="preserve">UNFPA </w:t>
            </w:r>
            <w:r w:rsidR="00FD5E19">
              <w:rPr>
                <w:rFonts w:asciiTheme="majorHAnsi" w:hAnsiTheme="majorHAnsi" w:cstheme="majorHAnsi"/>
              </w:rPr>
              <w:t xml:space="preserve">will </w:t>
            </w:r>
            <w:r>
              <w:rPr>
                <w:rFonts w:asciiTheme="majorHAnsi" w:hAnsiTheme="majorHAnsi" w:cstheme="majorHAnsi"/>
              </w:rPr>
              <w:t xml:space="preserve">provide technical and financial support to the study.  In this regard, UNFPA is seeking the professional services of a senior research </w:t>
            </w:r>
            <w:r w:rsidR="00942F5B">
              <w:rPr>
                <w:rFonts w:asciiTheme="majorHAnsi" w:hAnsiTheme="majorHAnsi" w:cstheme="majorHAnsi"/>
              </w:rPr>
              <w:t>inter</w:t>
            </w:r>
            <w:r>
              <w:rPr>
                <w:rFonts w:asciiTheme="majorHAnsi" w:hAnsiTheme="majorHAnsi" w:cstheme="majorHAnsi"/>
              </w:rPr>
              <w:t xml:space="preserve">national consultant to undertake the specific tasks as outlined in this Terms of Reference. </w:t>
            </w:r>
          </w:p>
        </w:tc>
      </w:tr>
      <w:tr w:rsidR="003A5300" w:rsidRPr="00D45AF5" w14:paraId="2BE62E59" w14:textId="77777777" w:rsidTr="00A318B8">
        <w:tc>
          <w:tcPr>
            <w:tcW w:w="2434" w:type="dxa"/>
            <w:tcBorders>
              <w:top w:val="single" w:sz="6" w:space="0" w:color="000000"/>
              <w:left w:val="single" w:sz="6" w:space="0" w:color="000000"/>
              <w:bottom w:val="single" w:sz="6" w:space="0" w:color="000000"/>
            </w:tcBorders>
          </w:tcPr>
          <w:p w14:paraId="75E790CC" w14:textId="77777777" w:rsidR="003A5300" w:rsidRPr="00D45AF5" w:rsidRDefault="00281C59">
            <w:pPr>
              <w:tabs>
                <w:tab w:val="left" w:pos="-720"/>
              </w:tabs>
              <w:spacing w:before="40" w:after="54"/>
              <w:ind w:left="360"/>
              <w:rPr>
                <w:rFonts w:ascii="Calibri" w:eastAsia="Calibri" w:hAnsi="Calibri" w:cs="Calibri"/>
                <w:sz w:val="22"/>
                <w:szCs w:val="22"/>
              </w:rPr>
            </w:pPr>
            <w:r w:rsidRPr="00D45AF5">
              <w:rPr>
                <w:rFonts w:ascii="Calibri" w:eastAsia="Calibri" w:hAnsi="Calibri" w:cs="Calibri"/>
                <w:sz w:val="22"/>
                <w:szCs w:val="22"/>
              </w:rPr>
              <w:t>Scope of work:</w:t>
            </w:r>
          </w:p>
          <w:p w14:paraId="4FAADFC3" w14:textId="77777777" w:rsidR="003A5300" w:rsidRPr="00D45AF5" w:rsidRDefault="003A5300">
            <w:pPr>
              <w:tabs>
                <w:tab w:val="left" w:pos="-720"/>
              </w:tabs>
              <w:spacing w:before="40" w:after="54"/>
              <w:rPr>
                <w:rFonts w:ascii="Calibri" w:eastAsia="Calibri" w:hAnsi="Calibri" w:cs="Calibri"/>
                <w:sz w:val="22"/>
                <w:szCs w:val="22"/>
              </w:rPr>
            </w:pPr>
          </w:p>
          <w:p w14:paraId="69572D34" w14:textId="77777777" w:rsidR="003A5300" w:rsidRPr="00D45AF5" w:rsidRDefault="00281C59">
            <w:pPr>
              <w:tabs>
                <w:tab w:val="left" w:pos="-720"/>
              </w:tabs>
              <w:spacing w:before="40" w:after="54"/>
              <w:ind w:left="360"/>
              <w:rPr>
                <w:rFonts w:ascii="Calibri" w:eastAsia="Calibri" w:hAnsi="Calibri" w:cs="Calibri"/>
                <w:sz w:val="22"/>
                <w:szCs w:val="22"/>
              </w:rPr>
            </w:pPr>
            <w:r w:rsidRPr="00D45AF5">
              <w:rPr>
                <w:rFonts w:ascii="Calibri" w:eastAsia="Calibri" w:hAnsi="Calibri" w:cs="Calibri"/>
                <w:i/>
                <w:sz w:val="22"/>
                <w:szCs w:val="22"/>
              </w:rPr>
              <w:t>(Description of services, activities, or outputs)</w:t>
            </w:r>
          </w:p>
        </w:tc>
        <w:tc>
          <w:tcPr>
            <w:tcW w:w="8010" w:type="dxa"/>
            <w:tcBorders>
              <w:top w:val="single" w:sz="6" w:space="0" w:color="000000"/>
              <w:left w:val="single" w:sz="6" w:space="0" w:color="000000"/>
              <w:bottom w:val="single" w:sz="6" w:space="0" w:color="000000"/>
              <w:right w:val="single" w:sz="6" w:space="0" w:color="000000"/>
            </w:tcBorders>
          </w:tcPr>
          <w:p w14:paraId="506E1D46" w14:textId="77777777" w:rsidR="00C176E8" w:rsidRPr="00D45AF5" w:rsidRDefault="00C176E8" w:rsidP="00C176E8">
            <w:pPr>
              <w:spacing w:line="276" w:lineRule="auto"/>
              <w:jc w:val="both"/>
              <w:rPr>
                <w:rFonts w:ascii="Calibri" w:eastAsia="Calibri" w:hAnsi="Calibri" w:cs="Calibri"/>
                <w:sz w:val="22"/>
                <w:szCs w:val="22"/>
              </w:rPr>
            </w:pPr>
            <w:r w:rsidRPr="00D45AF5">
              <w:rPr>
                <w:rFonts w:ascii="Calibri" w:eastAsia="Calibri" w:hAnsi="Calibri" w:cs="Calibri"/>
                <w:b/>
                <w:sz w:val="22"/>
                <w:szCs w:val="22"/>
              </w:rPr>
              <w:t>Overall Objectives of the Assignment</w:t>
            </w:r>
          </w:p>
          <w:p w14:paraId="2B65EA29" w14:textId="77777777" w:rsidR="00C176E8" w:rsidRDefault="00C176E8" w:rsidP="00C176E8">
            <w:pPr>
              <w:jc w:val="both"/>
              <w:rPr>
                <w:rFonts w:asciiTheme="majorHAnsi" w:hAnsiTheme="majorHAnsi"/>
                <w:sz w:val="22"/>
                <w:szCs w:val="22"/>
                <w:lang w:eastAsia="ja-JP"/>
              </w:rPr>
            </w:pPr>
            <w:r>
              <w:rPr>
                <w:rFonts w:asciiTheme="majorHAnsi" w:hAnsiTheme="majorHAnsi"/>
                <w:sz w:val="22"/>
                <w:szCs w:val="22"/>
                <w:lang w:eastAsia="ja-JP"/>
              </w:rPr>
              <w:t xml:space="preserve">The assessment will be </w:t>
            </w:r>
            <w:r w:rsidR="000017B7">
              <w:rPr>
                <w:rFonts w:asciiTheme="majorHAnsi" w:hAnsiTheme="majorHAnsi"/>
                <w:sz w:val="22"/>
                <w:szCs w:val="22"/>
                <w:lang w:eastAsia="ja-JP"/>
              </w:rPr>
              <w:t>of qualitative nature covering</w:t>
            </w:r>
            <w:r>
              <w:rPr>
                <w:rFonts w:asciiTheme="majorHAnsi" w:hAnsiTheme="majorHAnsi"/>
                <w:sz w:val="22"/>
                <w:szCs w:val="22"/>
                <w:lang w:eastAsia="ja-JP"/>
              </w:rPr>
              <w:t xml:space="preserve"> </w:t>
            </w:r>
            <w:r w:rsidRPr="00A15C82">
              <w:rPr>
                <w:rFonts w:asciiTheme="majorHAnsi" w:hAnsiTheme="majorHAnsi"/>
                <w:sz w:val="22"/>
                <w:szCs w:val="22"/>
                <w:lang w:eastAsia="ja-JP"/>
              </w:rPr>
              <w:t xml:space="preserve">comprehensive </w:t>
            </w:r>
            <w:r w:rsidR="000017B7" w:rsidRPr="00A15C82">
              <w:rPr>
                <w:rFonts w:asciiTheme="majorHAnsi" w:hAnsiTheme="majorHAnsi"/>
                <w:sz w:val="22"/>
                <w:szCs w:val="22"/>
                <w:lang w:eastAsia="ja-JP"/>
              </w:rPr>
              <w:t xml:space="preserve">assessment of </w:t>
            </w:r>
            <w:r w:rsidRPr="00A15C82">
              <w:rPr>
                <w:rFonts w:asciiTheme="majorHAnsi" w:hAnsiTheme="majorHAnsi"/>
                <w:sz w:val="22"/>
                <w:szCs w:val="22"/>
                <w:lang w:eastAsia="ja-JP"/>
              </w:rPr>
              <w:t>range</w:t>
            </w:r>
            <w:r w:rsidR="007E2EE5" w:rsidRPr="00A15C82">
              <w:rPr>
                <w:rFonts w:asciiTheme="majorHAnsi" w:hAnsiTheme="majorHAnsi"/>
                <w:sz w:val="22"/>
                <w:szCs w:val="22"/>
                <w:lang w:eastAsia="ja-JP"/>
              </w:rPr>
              <w:t xml:space="preserve"> of women and girls’ protection and well-being </w:t>
            </w:r>
            <w:r w:rsidRPr="00A15C82">
              <w:rPr>
                <w:rFonts w:asciiTheme="majorHAnsi" w:hAnsiTheme="majorHAnsi"/>
                <w:sz w:val="22"/>
                <w:szCs w:val="22"/>
                <w:lang w:eastAsia="ja-JP"/>
              </w:rPr>
              <w:t>related cases, focusing on sexual violence and intimate partner violence</w:t>
            </w:r>
            <w:r w:rsidR="00037BE6" w:rsidRPr="00A15C82">
              <w:rPr>
                <w:rFonts w:asciiTheme="majorHAnsi" w:hAnsiTheme="majorHAnsi"/>
                <w:sz w:val="22"/>
                <w:szCs w:val="22"/>
                <w:lang w:eastAsia="ja-JP"/>
              </w:rPr>
              <w:t xml:space="preserve"> and identification of response and mitigation mechanism</w:t>
            </w:r>
            <w:r w:rsidRPr="00A15C82">
              <w:rPr>
                <w:rFonts w:asciiTheme="majorHAnsi" w:hAnsiTheme="majorHAnsi"/>
                <w:sz w:val="22"/>
                <w:szCs w:val="22"/>
                <w:lang w:eastAsia="ja-JP"/>
              </w:rPr>
              <w:t>.  The objectives of the assessment are:</w:t>
            </w:r>
            <w:r>
              <w:rPr>
                <w:rFonts w:asciiTheme="majorHAnsi" w:hAnsiTheme="majorHAnsi"/>
                <w:sz w:val="22"/>
                <w:szCs w:val="22"/>
                <w:lang w:eastAsia="ja-JP"/>
              </w:rPr>
              <w:t xml:space="preserve"> </w:t>
            </w:r>
          </w:p>
          <w:p w14:paraId="7FD4F7AA" w14:textId="77777777" w:rsidR="00C176E8" w:rsidRPr="00594846" w:rsidRDefault="00C176E8" w:rsidP="00C176E8">
            <w:pPr>
              <w:jc w:val="both"/>
              <w:rPr>
                <w:rFonts w:asciiTheme="majorHAnsi" w:hAnsiTheme="majorHAnsi"/>
                <w:sz w:val="22"/>
                <w:szCs w:val="22"/>
                <w:lang w:eastAsia="ja-JP"/>
              </w:rPr>
            </w:pPr>
          </w:p>
          <w:p w14:paraId="282E2D9E" w14:textId="77777777" w:rsidR="00C176E8" w:rsidRPr="004937F3" w:rsidRDefault="00C176E8" w:rsidP="00C176E8">
            <w:pPr>
              <w:pStyle w:val="ListParagraph"/>
              <w:numPr>
                <w:ilvl w:val="0"/>
                <w:numId w:val="18"/>
              </w:numPr>
              <w:jc w:val="both"/>
              <w:rPr>
                <w:rFonts w:asciiTheme="majorHAnsi" w:hAnsiTheme="majorHAnsi"/>
              </w:rPr>
            </w:pPr>
            <w:r w:rsidRPr="004937F3">
              <w:rPr>
                <w:rFonts w:asciiTheme="majorHAnsi" w:hAnsiTheme="majorHAnsi"/>
              </w:rPr>
              <w:t xml:space="preserve">To understand particularity and nature of GBV, including common types, extent, needs as well as attitudes, practices and norms in the community, including current coping mechanisms of survivors; </w:t>
            </w:r>
          </w:p>
          <w:p w14:paraId="0E98DFCB" w14:textId="77777777" w:rsidR="00C176E8" w:rsidRPr="004937F3" w:rsidRDefault="00C176E8" w:rsidP="00C176E8">
            <w:pPr>
              <w:pStyle w:val="ListParagraph"/>
              <w:numPr>
                <w:ilvl w:val="0"/>
                <w:numId w:val="18"/>
              </w:numPr>
              <w:jc w:val="both"/>
              <w:rPr>
                <w:rFonts w:asciiTheme="majorHAnsi" w:hAnsiTheme="majorHAnsi"/>
                <w:lang w:eastAsia="ja-JP"/>
              </w:rPr>
            </w:pPr>
            <w:r w:rsidRPr="004937F3">
              <w:rPr>
                <w:rFonts w:asciiTheme="majorHAnsi" w:hAnsiTheme="majorHAnsi"/>
                <w:lang w:eastAsia="ja-JP"/>
              </w:rPr>
              <w:t xml:space="preserve">To map main stakeholders in GBV to inform referral pathways;  </w:t>
            </w:r>
          </w:p>
          <w:p w14:paraId="19CE169C" w14:textId="77777777" w:rsidR="00C176E8" w:rsidRPr="004937F3" w:rsidRDefault="00C176E8" w:rsidP="00C176E8">
            <w:pPr>
              <w:pStyle w:val="ListParagraph"/>
              <w:numPr>
                <w:ilvl w:val="0"/>
                <w:numId w:val="18"/>
              </w:numPr>
              <w:jc w:val="both"/>
              <w:rPr>
                <w:rFonts w:asciiTheme="majorHAnsi" w:hAnsiTheme="majorHAnsi"/>
              </w:rPr>
            </w:pPr>
            <w:r w:rsidRPr="004937F3">
              <w:rPr>
                <w:rFonts w:asciiTheme="majorHAnsi" w:hAnsiTheme="majorHAnsi"/>
              </w:rPr>
              <w:lastRenderedPageBreak/>
              <w:t xml:space="preserve">To identify gaps, barriers and opportunities in GBV response and prevention and advocacy with duty bearers; </w:t>
            </w:r>
          </w:p>
          <w:p w14:paraId="12462A6D" w14:textId="77777777" w:rsidR="00C176E8" w:rsidRPr="004937F3" w:rsidRDefault="00C176E8" w:rsidP="00C176E8">
            <w:pPr>
              <w:pStyle w:val="ListParagraph"/>
              <w:numPr>
                <w:ilvl w:val="0"/>
                <w:numId w:val="18"/>
              </w:numPr>
              <w:jc w:val="both"/>
              <w:rPr>
                <w:rFonts w:asciiTheme="majorHAnsi" w:hAnsiTheme="majorHAnsi"/>
              </w:rPr>
            </w:pPr>
            <w:r w:rsidRPr="004937F3">
              <w:rPr>
                <w:rFonts w:asciiTheme="majorHAnsi" w:hAnsiTheme="majorHAnsi"/>
              </w:rPr>
              <w:t>To assess capacity of organizations including policies, practices and attitude of service providers;</w:t>
            </w:r>
          </w:p>
          <w:p w14:paraId="28D66394" w14:textId="77777777" w:rsidR="00C176E8" w:rsidRDefault="00C176E8" w:rsidP="00C176E8">
            <w:pPr>
              <w:pStyle w:val="ListParagraph"/>
              <w:numPr>
                <w:ilvl w:val="0"/>
                <w:numId w:val="18"/>
              </w:numPr>
              <w:jc w:val="both"/>
              <w:rPr>
                <w:rFonts w:asciiTheme="majorHAnsi" w:hAnsiTheme="majorHAnsi"/>
              </w:rPr>
            </w:pPr>
            <w:r w:rsidRPr="004937F3">
              <w:rPr>
                <w:rFonts w:asciiTheme="majorHAnsi" w:hAnsiTheme="majorHAnsi"/>
              </w:rPr>
              <w:t xml:space="preserve">To inform comprehensive women and girls centered protection programming and policy development; </w:t>
            </w:r>
          </w:p>
          <w:p w14:paraId="43B6DF49" w14:textId="77777777" w:rsidR="00C176E8" w:rsidRPr="00C176E8" w:rsidRDefault="00C176E8" w:rsidP="00C176E8">
            <w:pPr>
              <w:pStyle w:val="ListParagraph"/>
              <w:numPr>
                <w:ilvl w:val="0"/>
                <w:numId w:val="18"/>
              </w:numPr>
              <w:jc w:val="both"/>
              <w:rPr>
                <w:rFonts w:asciiTheme="majorHAnsi" w:hAnsiTheme="majorHAnsi"/>
              </w:rPr>
            </w:pPr>
            <w:r w:rsidRPr="00C176E8">
              <w:rPr>
                <w:rFonts w:asciiTheme="majorHAnsi" w:hAnsiTheme="majorHAnsi"/>
              </w:rPr>
              <w:t>To identify good practices</w:t>
            </w:r>
          </w:p>
          <w:p w14:paraId="59A0C80A" w14:textId="77777777" w:rsidR="00C176E8" w:rsidRPr="0034529D" w:rsidRDefault="00C176E8" w:rsidP="00C176E8">
            <w:pPr>
              <w:rPr>
                <w:rFonts w:asciiTheme="majorHAnsi" w:hAnsiTheme="majorHAnsi" w:cstheme="majorHAnsi"/>
                <w:b/>
                <w:sz w:val="22"/>
                <w:szCs w:val="22"/>
              </w:rPr>
            </w:pPr>
            <w:r w:rsidRPr="0034529D">
              <w:rPr>
                <w:rFonts w:asciiTheme="majorHAnsi" w:hAnsiTheme="majorHAnsi" w:cstheme="majorHAnsi"/>
                <w:b/>
                <w:sz w:val="22"/>
                <w:szCs w:val="22"/>
              </w:rPr>
              <w:t xml:space="preserve">Assessment Methodology </w:t>
            </w:r>
          </w:p>
          <w:p w14:paraId="0826FD48" w14:textId="77777777" w:rsidR="00C176E8" w:rsidRPr="0034529D" w:rsidRDefault="00C176E8" w:rsidP="00C176E8">
            <w:pPr>
              <w:jc w:val="both"/>
              <w:rPr>
                <w:rFonts w:asciiTheme="majorHAnsi" w:hAnsiTheme="majorHAnsi" w:cstheme="majorHAnsi"/>
                <w:sz w:val="22"/>
                <w:szCs w:val="22"/>
              </w:rPr>
            </w:pPr>
            <w:r w:rsidRPr="0034529D">
              <w:rPr>
                <w:rFonts w:asciiTheme="majorHAnsi" w:hAnsiTheme="majorHAnsi" w:cstheme="majorHAnsi"/>
                <w:sz w:val="22"/>
                <w:szCs w:val="22"/>
              </w:rPr>
              <w:t xml:space="preserve">Information will be collected through a combination of desk reviews, consultations, key informant interviews and focus group discussions. </w:t>
            </w:r>
          </w:p>
          <w:p w14:paraId="5ACF57DF" w14:textId="77777777" w:rsidR="00C176E8" w:rsidRPr="0034529D" w:rsidRDefault="00C176E8" w:rsidP="00C176E8">
            <w:pPr>
              <w:jc w:val="both"/>
              <w:rPr>
                <w:rFonts w:asciiTheme="majorHAnsi" w:hAnsiTheme="majorHAnsi" w:cstheme="majorHAnsi"/>
                <w:sz w:val="22"/>
                <w:szCs w:val="22"/>
              </w:rPr>
            </w:pPr>
          </w:p>
          <w:p w14:paraId="5F6AE000" w14:textId="77777777" w:rsidR="00C176E8" w:rsidRPr="0034529D" w:rsidRDefault="00C176E8" w:rsidP="00C176E8">
            <w:pPr>
              <w:jc w:val="both"/>
              <w:rPr>
                <w:rFonts w:asciiTheme="majorHAnsi" w:hAnsiTheme="majorHAnsi" w:cstheme="majorHAnsi"/>
                <w:sz w:val="22"/>
                <w:szCs w:val="22"/>
              </w:rPr>
            </w:pPr>
            <w:r w:rsidRPr="0034529D">
              <w:rPr>
                <w:rFonts w:asciiTheme="majorHAnsi" w:hAnsiTheme="majorHAnsi" w:cstheme="majorHAnsi"/>
                <w:sz w:val="22"/>
                <w:szCs w:val="22"/>
              </w:rPr>
              <w:t xml:space="preserve">The following is a broad and guiding list of stakeholders who will be involved in the assessment, to be further finalised in the local context viz a viz their </w:t>
            </w:r>
            <w:r>
              <w:rPr>
                <w:rFonts w:asciiTheme="majorHAnsi" w:hAnsiTheme="majorHAnsi" w:cstheme="majorHAnsi"/>
                <w:sz w:val="22"/>
                <w:szCs w:val="22"/>
              </w:rPr>
              <w:t xml:space="preserve">current </w:t>
            </w:r>
            <w:r w:rsidRPr="0034529D">
              <w:rPr>
                <w:rFonts w:asciiTheme="majorHAnsi" w:hAnsiTheme="majorHAnsi" w:cstheme="majorHAnsi"/>
                <w:sz w:val="22"/>
                <w:szCs w:val="22"/>
              </w:rPr>
              <w:t>role</w:t>
            </w:r>
            <w:r>
              <w:rPr>
                <w:rFonts w:asciiTheme="majorHAnsi" w:hAnsiTheme="majorHAnsi" w:cstheme="majorHAnsi"/>
                <w:sz w:val="22"/>
                <w:szCs w:val="22"/>
              </w:rPr>
              <w:t xml:space="preserve"> and presence in the province</w:t>
            </w:r>
            <w:r w:rsidRPr="0034529D">
              <w:rPr>
                <w:rFonts w:asciiTheme="majorHAnsi" w:hAnsiTheme="majorHAnsi" w:cstheme="majorHAnsi"/>
                <w:sz w:val="22"/>
                <w:szCs w:val="22"/>
              </w:rPr>
              <w:t xml:space="preserve">.  </w:t>
            </w:r>
          </w:p>
          <w:p w14:paraId="22203F9C" w14:textId="77777777" w:rsidR="00C176E8" w:rsidRPr="0034529D" w:rsidRDefault="00C176E8" w:rsidP="00C176E8">
            <w:pPr>
              <w:rPr>
                <w:rFonts w:asciiTheme="majorHAnsi" w:hAnsiTheme="majorHAnsi" w:cstheme="majorHAnsi"/>
                <w:sz w:val="22"/>
                <w:szCs w:val="22"/>
              </w:rPr>
            </w:pPr>
          </w:p>
          <w:p w14:paraId="4A3514D2" w14:textId="77777777" w:rsidR="00C176E8" w:rsidRPr="0034529D" w:rsidRDefault="00C176E8" w:rsidP="00C176E8">
            <w:pPr>
              <w:rPr>
                <w:rFonts w:asciiTheme="majorHAnsi" w:hAnsiTheme="majorHAnsi" w:cstheme="majorHAnsi"/>
                <w:i/>
                <w:sz w:val="22"/>
                <w:szCs w:val="22"/>
              </w:rPr>
            </w:pPr>
            <w:r w:rsidRPr="0034529D">
              <w:rPr>
                <w:rFonts w:asciiTheme="majorHAnsi" w:hAnsiTheme="majorHAnsi" w:cstheme="majorHAnsi"/>
                <w:i/>
                <w:sz w:val="22"/>
                <w:szCs w:val="22"/>
              </w:rPr>
              <w:t xml:space="preserve">Governmental Actors </w:t>
            </w:r>
          </w:p>
          <w:p w14:paraId="716C8B43" w14:textId="77777777" w:rsidR="00C176E8" w:rsidRPr="0034529D" w:rsidRDefault="00C176E8" w:rsidP="00C176E8">
            <w:pPr>
              <w:numPr>
                <w:ilvl w:val="0"/>
                <w:numId w:val="8"/>
              </w:numPr>
              <w:rPr>
                <w:rFonts w:asciiTheme="majorHAnsi" w:hAnsiTheme="majorHAnsi" w:cstheme="majorHAnsi"/>
                <w:iCs/>
                <w:sz w:val="22"/>
                <w:szCs w:val="22"/>
              </w:rPr>
            </w:pPr>
            <w:r w:rsidRPr="0034529D">
              <w:rPr>
                <w:rFonts w:asciiTheme="majorHAnsi" w:hAnsiTheme="majorHAnsi" w:cstheme="majorHAnsi"/>
                <w:iCs/>
                <w:sz w:val="22"/>
                <w:szCs w:val="22"/>
              </w:rPr>
              <w:t xml:space="preserve">Health (dep+ secretariat) Hospitals, medical doctors, medical legal officers, LHV/W, polio team </w:t>
            </w:r>
          </w:p>
          <w:p w14:paraId="6C277469" w14:textId="77777777" w:rsidR="00C176E8" w:rsidRPr="0034529D" w:rsidRDefault="00C176E8" w:rsidP="00C176E8">
            <w:pPr>
              <w:numPr>
                <w:ilvl w:val="0"/>
                <w:numId w:val="8"/>
              </w:numPr>
              <w:rPr>
                <w:rFonts w:asciiTheme="majorHAnsi" w:hAnsiTheme="majorHAnsi" w:cstheme="majorHAnsi"/>
                <w:iCs/>
                <w:sz w:val="22"/>
                <w:szCs w:val="22"/>
              </w:rPr>
            </w:pPr>
            <w:r w:rsidRPr="0034529D">
              <w:rPr>
                <w:rFonts w:asciiTheme="majorHAnsi" w:hAnsiTheme="majorHAnsi" w:cstheme="majorHAnsi"/>
                <w:iCs/>
                <w:sz w:val="22"/>
                <w:szCs w:val="22"/>
              </w:rPr>
              <w:t>CAR</w:t>
            </w:r>
            <w:r>
              <w:rPr>
                <w:rFonts w:asciiTheme="majorHAnsi" w:hAnsiTheme="majorHAnsi" w:cstheme="majorHAnsi"/>
                <w:iCs/>
                <w:sz w:val="22"/>
                <w:szCs w:val="22"/>
              </w:rPr>
              <w:t>,</w:t>
            </w:r>
            <w:r w:rsidRPr="0034529D">
              <w:rPr>
                <w:rFonts w:asciiTheme="majorHAnsi" w:hAnsiTheme="majorHAnsi" w:cstheme="majorHAnsi"/>
                <w:iCs/>
                <w:sz w:val="22"/>
                <w:szCs w:val="22"/>
              </w:rPr>
              <w:t xml:space="preserve"> Health Services Academy, NCMNH</w:t>
            </w:r>
          </w:p>
          <w:p w14:paraId="40A9CFB7" w14:textId="77777777" w:rsidR="00C176E8" w:rsidRPr="0034529D" w:rsidRDefault="00C176E8" w:rsidP="00C176E8">
            <w:pPr>
              <w:numPr>
                <w:ilvl w:val="0"/>
                <w:numId w:val="8"/>
              </w:numPr>
              <w:rPr>
                <w:rFonts w:asciiTheme="majorHAnsi" w:hAnsiTheme="majorHAnsi" w:cstheme="majorHAnsi"/>
                <w:iCs/>
                <w:sz w:val="22"/>
                <w:szCs w:val="22"/>
              </w:rPr>
            </w:pPr>
            <w:r w:rsidRPr="0034529D">
              <w:rPr>
                <w:rFonts w:asciiTheme="majorHAnsi" w:hAnsiTheme="majorHAnsi" w:cstheme="majorHAnsi"/>
                <w:iCs/>
                <w:sz w:val="22"/>
                <w:szCs w:val="22"/>
              </w:rPr>
              <w:t xml:space="preserve">P/FDMA </w:t>
            </w:r>
          </w:p>
          <w:p w14:paraId="4D9264CA" w14:textId="77777777" w:rsidR="00C176E8" w:rsidRPr="0034529D" w:rsidRDefault="00C176E8" w:rsidP="00C176E8">
            <w:pPr>
              <w:numPr>
                <w:ilvl w:val="0"/>
                <w:numId w:val="8"/>
              </w:numPr>
              <w:rPr>
                <w:rFonts w:asciiTheme="majorHAnsi" w:hAnsiTheme="majorHAnsi" w:cstheme="majorHAnsi"/>
                <w:iCs/>
                <w:sz w:val="22"/>
                <w:szCs w:val="22"/>
              </w:rPr>
            </w:pPr>
            <w:r w:rsidRPr="0034529D">
              <w:rPr>
                <w:rFonts w:asciiTheme="majorHAnsi" w:hAnsiTheme="majorHAnsi" w:cstheme="majorHAnsi"/>
                <w:iCs/>
                <w:sz w:val="22"/>
                <w:szCs w:val="22"/>
              </w:rPr>
              <w:t>Women Development Department KP (under social welfare), PCSW, Law&amp; Justice Commission, Judicial Academy, KP Directorate of Human Rights, National HR Commission of KP, KP Police Women Complaint Cell, Woman Ombud</w:t>
            </w:r>
            <w:r>
              <w:rPr>
                <w:rFonts w:asciiTheme="majorHAnsi" w:hAnsiTheme="majorHAnsi" w:cstheme="majorHAnsi"/>
                <w:iCs/>
                <w:sz w:val="22"/>
                <w:szCs w:val="22"/>
              </w:rPr>
              <w:t xml:space="preserve">sperson on Workplace harassment, Women Desks-dispute Resolution Centres, Police Lines, Darul Amaan,  </w:t>
            </w:r>
          </w:p>
          <w:p w14:paraId="043173E6" w14:textId="77777777" w:rsidR="00C176E8" w:rsidRPr="0034529D" w:rsidRDefault="00C176E8" w:rsidP="00C176E8">
            <w:pPr>
              <w:numPr>
                <w:ilvl w:val="0"/>
                <w:numId w:val="8"/>
              </w:numPr>
              <w:jc w:val="both"/>
              <w:rPr>
                <w:rFonts w:asciiTheme="majorHAnsi" w:hAnsiTheme="majorHAnsi" w:cstheme="majorHAnsi"/>
                <w:sz w:val="22"/>
                <w:szCs w:val="22"/>
              </w:rPr>
            </w:pPr>
            <w:r w:rsidRPr="0034529D">
              <w:rPr>
                <w:rFonts w:asciiTheme="majorHAnsi" w:hAnsiTheme="majorHAnsi" w:cstheme="majorHAnsi"/>
                <w:sz w:val="22"/>
                <w:szCs w:val="22"/>
              </w:rPr>
              <w:t xml:space="preserve">Gender Studies Department, University of Peshawar </w:t>
            </w:r>
          </w:p>
          <w:p w14:paraId="78380236" w14:textId="77777777" w:rsidR="00C176E8" w:rsidRPr="0034529D" w:rsidRDefault="00C176E8" w:rsidP="00C176E8">
            <w:pPr>
              <w:rPr>
                <w:rFonts w:asciiTheme="majorHAnsi" w:hAnsiTheme="majorHAnsi" w:cstheme="majorHAnsi"/>
                <w:i/>
                <w:sz w:val="22"/>
                <w:szCs w:val="22"/>
              </w:rPr>
            </w:pPr>
          </w:p>
          <w:p w14:paraId="17B9D2A6" w14:textId="77777777" w:rsidR="00C176E8" w:rsidRPr="005956B0" w:rsidRDefault="00C176E8" w:rsidP="00C176E8">
            <w:pPr>
              <w:rPr>
                <w:rFonts w:asciiTheme="majorHAnsi" w:hAnsiTheme="majorHAnsi" w:cstheme="majorHAnsi"/>
                <w:sz w:val="22"/>
                <w:szCs w:val="22"/>
              </w:rPr>
            </w:pPr>
            <w:r w:rsidRPr="005956B0">
              <w:rPr>
                <w:rFonts w:asciiTheme="majorHAnsi" w:hAnsiTheme="majorHAnsi" w:cstheme="majorHAnsi"/>
                <w:sz w:val="22"/>
                <w:szCs w:val="22"/>
              </w:rPr>
              <w:t xml:space="preserve">Non-governmental stakeholders </w:t>
            </w:r>
          </w:p>
          <w:p w14:paraId="4ED2D5B0" w14:textId="77777777" w:rsidR="00C176E8" w:rsidRPr="0034529D" w:rsidRDefault="00C176E8" w:rsidP="00C176E8">
            <w:pPr>
              <w:numPr>
                <w:ilvl w:val="0"/>
                <w:numId w:val="8"/>
              </w:numPr>
              <w:jc w:val="both"/>
              <w:rPr>
                <w:rFonts w:asciiTheme="majorHAnsi" w:hAnsiTheme="majorHAnsi" w:cstheme="majorHAnsi"/>
                <w:i/>
                <w:sz w:val="22"/>
                <w:szCs w:val="22"/>
              </w:rPr>
            </w:pPr>
            <w:r w:rsidRPr="0034529D">
              <w:rPr>
                <w:rFonts w:asciiTheme="majorHAnsi" w:hAnsiTheme="majorHAnsi" w:cstheme="majorHAnsi"/>
                <w:i/>
                <w:sz w:val="22"/>
                <w:szCs w:val="22"/>
              </w:rPr>
              <w:t xml:space="preserve">MSF, IMC, ARC, IFRC, ICRC, KK, GSM, Marie Stopes, Mercy Corps, ROZAN, Aurat Foundation, Shirkat Gah, FPAP, IDSP, GIZ, LHRA, OXFAM (co-chaired Gender Task Force), Lawyers of Human Rights, CYAAD, RSPN, SRSP, AWARE GIRLS, LAAS (women lawyer) Plan International, Green Star (GSM), PAIMAN, Blue Veins, </w:t>
            </w:r>
            <w:r>
              <w:rPr>
                <w:rFonts w:asciiTheme="majorHAnsi" w:hAnsiTheme="majorHAnsi" w:cstheme="majorHAnsi"/>
                <w:i/>
                <w:sz w:val="22"/>
                <w:szCs w:val="22"/>
              </w:rPr>
              <w:t xml:space="preserve">NET, </w:t>
            </w:r>
            <w:r w:rsidRPr="0034529D">
              <w:rPr>
                <w:rFonts w:asciiTheme="majorHAnsi" w:hAnsiTheme="majorHAnsi" w:cstheme="majorHAnsi"/>
                <w:i/>
                <w:sz w:val="22"/>
                <w:szCs w:val="22"/>
              </w:rPr>
              <w:t xml:space="preserve">EHSAAR Foundation,    </w:t>
            </w:r>
          </w:p>
          <w:p w14:paraId="095CA14D" w14:textId="77777777" w:rsidR="00C176E8" w:rsidRPr="0034529D" w:rsidRDefault="00C176E8" w:rsidP="00C176E8">
            <w:pPr>
              <w:numPr>
                <w:ilvl w:val="0"/>
                <w:numId w:val="8"/>
              </w:numPr>
              <w:jc w:val="both"/>
              <w:rPr>
                <w:rFonts w:asciiTheme="majorHAnsi" w:hAnsiTheme="majorHAnsi" w:cstheme="majorHAnsi"/>
                <w:sz w:val="22"/>
                <w:szCs w:val="22"/>
              </w:rPr>
            </w:pPr>
            <w:r w:rsidRPr="0034529D">
              <w:rPr>
                <w:rFonts w:asciiTheme="majorHAnsi" w:hAnsiTheme="majorHAnsi" w:cstheme="majorHAnsi"/>
                <w:sz w:val="22"/>
                <w:szCs w:val="22"/>
              </w:rPr>
              <w:t xml:space="preserve">Community mobilization: PRDP, CERD  </w:t>
            </w:r>
          </w:p>
          <w:p w14:paraId="41A4AAB7" w14:textId="77777777" w:rsidR="00C176E8" w:rsidRPr="0034529D" w:rsidRDefault="00C176E8" w:rsidP="00C176E8">
            <w:pPr>
              <w:numPr>
                <w:ilvl w:val="0"/>
                <w:numId w:val="8"/>
              </w:numPr>
              <w:jc w:val="both"/>
              <w:rPr>
                <w:rFonts w:asciiTheme="majorHAnsi" w:hAnsiTheme="majorHAnsi" w:cstheme="majorHAnsi"/>
                <w:sz w:val="22"/>
                <w:szCs w:val="22"/>
              </w:rPr>
            </w:pPr>
            <w:r w:rsidRPr="0034529D">
              <w:rPr>
                <w:rFonts w:asciiTheme="majorHAnsi" w:hAnsiTheme="majorHAnsi" w:cstheme="majorHAnsi"/>
                <w:sz w:val="22"/>
                <w:szCs w:val="22"/>
              </w:rPr>
              <w:t xml:space="preserve">Vision (Transgender) Disability org </w:t>
            </w:r>
          </w:p>
          <w:p w14:paraId="6535FA9B" w14:textId="77777777" w:rsidR="00C176E8" w:rsidRPr="0034529D" w:rsidRDefault="00C176E8" w:rsidP="00C176E8">
            <w:pPr>
              <w:jc w:val="both"/>
              <w:rPr>
                <w:rFonts w:asciiTheme="majorHAnsi" w:hAnsiTheme="majorHAnsi" w:cstheme="majorHAnsi"/>
                <w:sz w:val="22"/>
                <w:szCs w:val="22"/>
              </w:rPr>
            </w:pPr>
          </w:p>
          <w:p w14:paraId="62DBFB20" w14:textId="77777777" w:rsidR="00C176E8" w:rsidRPr="005956B0" w:rsidRDefault="00C176E8" w:rsidP="00C176E8">
            <w:pPr>
              <w:jc w:val="both"/>
              <w:rPr>
                <w:rFonts w:asciiTheme="majorHAnsi" w:hAnsiTheme="majorHAnsi" w:cstheme="majorHAnsi"/>
                <w:iCs/>
                <w:sz w:val="22"/>
                <w:szCs w:val="22"/>
              </w:rPr>
            </w:pPr>
            <w:r w:rsidRPr="005956B0">
              <w:rPr>
                <w:rFonts w:asciiTheme="majorHAnsi" w:hAnsiTheme="majorHAnsi" w:cstheme="majorHAnsi"/>
                <w:iCs/>
                <w:sz w:val="22"/>
                <w:szCs w:val="22"/>
              </w:rPr>
              <w:t>UN agencies and multilateral banks</w:t>
            </w:r>
          </w:p>
          <w:p w14:paraId="2C3DED44" w14:textId="77777777" w:rsidR="00C176E8" w:rsidRPr="0034529D" w:rsidRDefault="00C176E8" w:rsidP="00C176E8">
            <w:pPr>
              <w:numPr>
                <w:ilvl w:val="0"/>
                <w:numId w:val="8"/>
              </w:numPr>
              <w:jc w:val="both"/>
              <w:rPr>
                <w:rFonts w:asciiTheme="majorHAnsi" w:hAnsiTheme="majorHAnsi" w:cstheme="majorHAnsi"/>
                <w:sz w:val="22"/>
                <w:szCs w:val="22"/>
              </w:rPr>
            </w:pPr>
            <w:r w:rsidRPr="0034529D">
              <w:rPr>
                <w:rFonts w:asciiTheme="majorHAnsi" w:hAnsiTheme="majorHAnsi" w:cstheme="majorHAnsi"/>
                <w:sz w:val="22"/>
                <w:szCs w:val="22"/>
              </w:rPr>
              <w:t xml:space="preserve">OCHA, UNHCR, UNDP, WFP, WHO, UNICEF, UN WOMEN, IOM, ADB, WB, UNAIDS </w:t>
            </w:r>
          </w:p>
          <w:p w14:paraId="5EC42018" w14:textId="77777777" w:rsidR="00C176E8" w:rsidRPr="0034529D" w:rsidRDefault="00C176E8" w:rsidP="00C176E8">
            <w:pPr>
              <w:jc w:val="both"/>
              <w:rPr>
                <w:rFonts w:asciiTheme="majorHAnsi" w:hAnsiTheme="majorHAnsi" w:cstheme="majorHAnsi"/>
                <w:sz w:val="22"/>
                <w:szCs w:val="22"/>
              </w:rPr>
            </w:pPr>
          </w:p>
          <w:p w14:paraId="2510231E" w14:textId="77777777" w:rsidR="00C176E8" w:rsidRPr="0034529D" w:rsidRDefault="00C176E8" w:rsidP="00C176E8">
            <w:pPr>
              <w:jc w:val="both"/>
              <w:rPr>
                <w:rFonts w:asciiTheme="majorHAnsi" w:hAnsiTheme="majorHAnsi" w:cstheme="majorHAnsi"/>
                <w:sz w:val="22"/>
                <w:szCs w:val="22"/>
              </w:rPr>
            </w:pPr>
            <w:r w:rsidRPr="0034529D">
              <w:rPr>
                <w:rFonts w:asciiTheme="majorHAnsi" w:hAnsiTheme="majorHAnsi" w:cstheme="majorHAnsi"/>
                <w:sz w:val="22"/>
                <w:szCs w:val="22"/>
              </w:rPr>
              <w:t>Criteria for selecting stakeholders are that they are playing one of the roles:</w:t>
            </w:r>
          </w:p>
          <w:p w14:paraId="77200D09" w14:textId="77777777" w:rsidR="00C176E8" w:rsidRPr="00B66B0E" w:rsidRDefault="00C176E8" w:rsidP="00C176E8">
            <w:pPr>
              <w:pStyle w:val="ListParagraph"/>
              <w:numPr>
                <w:ilvl w:val="0"/>
                <w:numId w:val="13"/>
              </w:numPr>
              <w:rPr>
                <w:rFonts w:asciiTheme="majorHAnsi" w:hAnsiTheme="majorHAnsi" w:cstheme="majorHAnsi"/>
              </w:rPr>
            </w:pPr>
            <w:r w:rsidRPr="00B66B0E">
              <w:rPr>
                <w:rFonts w:asciiTheme="majorHAnsi" w:hAnsiTheme="majorHAnsi" w:cstheme="majorHAnsi"/>
              </w:rPr>
              <w:t xml:space="preserve">Implementing direct medical/health and psychosocial/emotional support services (including case management and/or group support activities) for survivors </w:t>
            </w:r>
          </w:p>
          <w:p w14:paraId="23A11BFD" w14:textId="77777777" w:rsidR="00C176E8" w:rsidRPr="00B66B0E" w:rsidRDefault="00C176E8" w:rsidP="00C176E8">
            <w:pPr>
              <w:pStyle w:val="ListParagraph"/>
              <w:numPr>
                <w:ilvl w:val="0"/>
                <w:numId w:val="13"/>
              </w:numPr>
              <w:rPr>
                <w:rFonts w:asciiTheme="majorHAnsi" w:hAnsiTheme="majorHAnsi" w:cstheme="majorHAnsi"/>
              </w:rPr>
            </w:pPr>
            <w:r w:rsidRPr="00B66B0E">
              <w:rPr>
                <w:rFonts w:asciiTheme="majorHAnsi" w:hAnsiTheme="majorHAnsi" w:cstheme="majorHAnsi"/>
              </w:rPr>
              <w:t xml:space="preserve">Providing medical services; </w:t>
            </w:r>
          </w:p>
          <w:p w14:paraId="76BB8D5A" w14:textId="77777777" w:rsidR="00C176E8" w:rsidRPr="00B66B0E" w:rsidRDefault="00C176E8" w:rsidP="00C176E8">
            <w:pPr>
              <w:pStyle w:val="ListParagraph"/>
              <w:numPr>
                <w:ilvl w:val="0"/>
                <w:numId w:val="13"/>
              </w:numPr>
              <w:jc w:val="both"/>
              <w:rPr>
                <w:rFonts w:asciiTheme="majorHAnsi" w:hAnsiTheme="majorHAnsi" w:cstheme="majorHAnsi"/>
              </w:rPr>
            </w:pPr>
            <w:r w:rsidRPr="00B66B0E">
              <w:rPr>
                <w:rFonts w:asciiTheme="majorHAnsi" w:hAnsiTheme="majorHAnsi" w:cstheme="majorHAnsi"/>
              </w:rPr>
              <w:t xml:space="preserve">Providing legal aid or support in accessing justice; </w:t>
            </w:r>
          </w:p>
          <w:p w14:paraId="142AAABC" w14:textId="77777777" w:rsidR="00C176E8" w:rsidRPr="00B66B0E" w:rsidRDefault="00C176E8" w:rsidP="00C176E8">
            <w:pPr>
              <w:pStyle w:val="ListParagraph"/>
              <w:numPr>
                <w:ilvl w:val="0"/>
                <w:numId w:val="13"/>
              </w:numPr>
              <w:jc w:val="both"/>
              <w:rPr>
                <w:rFonts w:asciiTheme="majorHAnsi" w:hAnsiTheme="majorHAnsi" w:cstheme="majorHAnsi"/>
              </w:rPr>
            </w:pPr>
            <w:r w:rsidRPr="00B66B0E">
              <w:rPr>
                <w:rFonts w:asciiTheme="majorHAnsi" w:hAnsiTheme="majorHAnsi" w:cstheme="majorHAnsi"/>
              </w:rPr>
              <w:t>Providing security and safety services;</w:t>
            </w:r>
          </w:p>
          <w:p w14:paraId="43E4BDA5" w14:textId="77777777" w:rsidR="00C176E8" w:rsidRPr="00B66B0E" w:rsidRDefault="00C176E8" w:rsidP="00C176E8">
            <w:pPr>
              <w:pStyle w:val="ListParagraph"/>
              <w:numPr>
                <w:ilvl w:val="0"/>
                <w:numId w:val="13"/>
              </w:numPr>
              <w:rPr>
                <w:rFonts w:asciiTheme="majorHAnsi" w:hAnsiTheme="majorHAnsi" w:cstheme="majorHAnsi"/>
              </w:rPr>
            </w:pPr>
            <w:r w:rsidRPr="00B66B0E">
              <w:rPr>
                <w:rFonts w:asciiTheme="majorHAnsi" w:hAnsiTheme="majorHAnsi" w:cstheme="majorHAnsi"/>
              </w:rPr>
              <w:lastRenderedPageBreak/>
              <w:t>Implementing initiatives targeting specifically women and girls (including the empowerment or protection of women and girls) with a potential impact on or synergies with prevention and response;</w:t>
            </w:r>
          </w:p>
          <w:p w14:paraId="394C4A7E" w14:textId="77777777" w:rsidR="00C176E8" w:rsidRDefault="00C176E8" w:rsidP="00C176E8">
            <w:pPr>
              <w:pStyle w:val="ListParagraph"/>
              <w:numPr>
                <w:ilvl w:val="0"/>
                <w:numId w:val="13"/>
              </w:numPr>
              <w:rPr>
                <w:rFonts w:asciiTheme="majorHAnsi" w:hAnsiTheme="majorHAnsi" w:cstheme="majorHAnsi"/>
              </w:rPr>
            </w:pPr>
            <w:r w:rsidRPr="00B66B0E">
              <w:rPr>
                <w:rFonts w:asciiTheme="majorHAnsi" w:hAnsiTheme="majorHAnsi" w:cstheme="majorHAnsi"/>
              </w:rPr>
              <w:t xml:space="preserve">Other general protection and/or broader activities that can help prevent gender discrimination and related violence </w:t>
            </w:r>
          </w:p>
          <w:p w14:paraId="3ED29EA9" w14:textId="77777777" w:rsidR="00C176E8" w:rsidRPr="00B66B0E" w:rsidRDefault="00C176E8" w:rsidP="00C176E8">
            <w:pPr>
              <w:pStyle w:val="ListParagraph"/>
              <w:ind w:left="1080"/>
              <w:rPr>
                <w:rFonts w:asciiTheme="majorHAnsi" w:hAnsiTheme="majorHAnsi" w:cstheme="majorHAnsi"/>
              </w:rPr>
            </w:pPr>
          </w:p>
          <w:p w14:paraId="311D9FE6" w14:textId="77777777" w:rsidR="00C176E8" w:rsidRPr="00B66B0E" w:rsidRDefault="00C176E8" w:rsidP="00C176E8">
            <w:pPr>
              <w:pStyle w:val="ListParagraph"/>
              <w:numPr>
                <w:ilvl w:val="0"/>
                <w:numId w:val="15"/>
              </w:numPr>
              <w:spacing w:after="120"/>
              <w:jc w:val="both"/>
              <w:rPr>
                <w:rFonts w:asciiTheme="majorHAnsi" w:hAnsiTheme="majorHAnsi" w:cstheme="majorHAnsi"/>
                <w:b/>
              </w:rPr>
            </w:pPr>
            <w:r w:rsidRPr="00B66B0E">
              <w:rPr>
                <w:rFonts w:asciiTheme="majorHAnsi" w:hAnsiTheme="majorHAnsi" w:cstheme="majorHAnsi"/>
                <w:b/>
              </w:rPr>
              <w:t xml:space="preserve">Desk Review  </w:t>
            </w:r>
          </w:p>
          <w:p w14:paraId="588C009D" w14:textId="77777777" w:rsidR="00C176E8" w:rsidRPr="0034529D" w:rsidRDefault="00C176E8" w:rsidP="00C176E8">
            <w:pPr>
              <w:spacing w:after="120"/>
              <w:jc w:val="both"/>
              <w:rPr>
                <w:rFonts w:asciiTheme="majorHAnsi" w:hAnsiTheme="majorHAnsi" w:cstheme="majorHAnsi"/>
                <w:sz w:val="22"/>
                <w:szCs w:val="22"/>
              </w:rPr>
            </w:pPr>
            <w:r w:rsidRPr="0034529D">
              <w:rPr>
                <w:rFonts w:asciiTheme="majorHAnsi" w:hAnsiTheme="majorHAnsi" w:cstheme="majorHAnsi"/>
                <w:sz w:val="22"/>
                <w:szCs w:val="22"/>
              </w:rPr>
              <w:t xml:space="preserve">Existing reports and assessments on GBV and gender and background documents with focus on KP and merged districts will be reviewed. The review will include academic literatures and grey literatures, published and unpublished report since 2010, including the following: </w:t>
            </w:r>
          </w:p>
          <w:p w14:paraId="0E005A82" w14:textId="77777777" w:rsidR="00C176E8" w:rsidRPr="00B66B0E" w:rsidRDefault="00C176E8" w:rsidP="00C176E8">
            <w:pPr>
              <w:pStyle w:val="ListParagraph"/>
              <w:numPr>
                <w:ilvl w:val="0"/>
                <w:numId w:val="14"/>
              </w:numPr>
              <w:jc w:val="both"/>
              <w:rPr>
                <w:rFonts w:asciiTheme="majorHAnsi" w:hAnsiTheme="majorHAnsi" w:cstheme="majorHAnsi"/>
              </w:rPr>
            </w:pPr>
            <w:r w:rsidRPr="00B66B0E">
              <w:rPr>
                <w:rFonts w:asciiTheme="majorHAnsi" w:hAnsiTheme="majorHAnsi" w:cstheme="majorHAnsi"/>
              </w:rPr>
              <w:t>PDHS 2018</w:t>
            </w:r>
          </w:p>
          <w:p w14:paraId="3E9CEE0A" w14:textId="77777777" w:rsidR="00C176E8" w:rsidRPr="00B66B0E" w:rsidRDefault="00C176E8" w:rsidP="00C176E8">
            <w:pPr>
              <w:pStyle w:val="ListParagraph"/>
              <w:numPr>
                <w:ilvl w:val="0"/>
                <w:numId w:val="14"/>
              </w:numPr>
              <w:jc w:val="both"/>
              <w:rPr>
                <w:rFonts w:asciiTheme="majorHAnsi" w:hAnsiTheme="majorHAnsi" w:cstheme="majorHAnsi"/>
              </w:rPr>
            </w:pPr>
            <w:r w:rsidRPr="00B66B0E">
              <w:rPr>
                <w:rFonts w:asciiTheme="majorHAnsi" w:hAnsiTheme="majorHAnsi" w:cstheme="majorHAnsi"/>
              </w:rPr>
              <w:t>Protection assessments</w:t>
            </w:r>
          </w:p>
          <w:p w14:paraId="2564D40B" w14:textId="77777777" w:rsidR="00C176E8" w:rsidRPr="00B66B0E" w:rsidRDefault="00C176E8" w:rsidP="00C176E8">
            <w:pPr>
              <w:pStyle w:val="ListParagraph"/>
              <w:numPr>
                <w:ilvl w:val="0"/>
                <w:numId w:val="14"/>
              </w:numPr>
              <w:jc w:val="both"/>
              <w:rPr>
                <w:rFonts w:asciiTheme="majorHAnsi" w:hAnsiTheme="majorHAnsi" w:cstheme="majorHAnsi"/>
              </w:rPr>
            </w:pPr>
            <w:r w:rsidRPr="00B66B0E">
              <w:rPr>
                <w:rFonts w:asciiTheme="majorHAnsi" w:hAnsiTheme="majorHAnsi" w:cstheme="majorHAnsi"/>
              </w:rPr>
              <w:t>IFRC study, Trocaire Study on Men</w:t>
            </w:r>
          </w:p>
          <w:p w14:paraId="28277EBE" w14:textId="77777777" w:rsidR="00C176E8" w:rsidRPr="00B66B0E" w:rsidRDefault="00C176E8" w:rsidP="00C176E8">
            <w:pPr>
              <w:pStyle w:val="ListParagraph"/>
              <w:numPr>
                <w:ilvl w:val="0"/>
                <w:numId w:val="14"/>
              </w:numPr>
              <w:jc w:val="both"/>
              <w:rPr>
                <w:rFonts w:asciiTheme="majorHAnsi" w:hAnsiTheme="majorHAnsi" w:cstheme="majorHAnsi"/>
              </w:rPr>
            </w:pPr>
            <w:r w:rsidRPr="00B66B0E">
              <w:rPr>
                <w:rFonts w:asciiTheme="majorHAnsi" w:hAnsiTheme="majorHAnsi" w:cstheme="majorHAnsi"/>
              </w:rPr>
              <w:t xml:space="preserve">DFAT evaluation, UNFPA social economic well-being survey, </w:t>
            </w:r>
          </w:p>
          <w:p w14:paraId="0E360336" w14:textId="77777777" w:rsidR="00C176E8" w:rsidRPr="00B66B0E" w:rsidRDefault="00C176E8" w:rsidP="00C176E8">
            <w:pPr>
              <w:pStyle w:val="ListParagraph"/>
              <w:numPr>
                <w:ilvl w:val="0"/>
                <w:numId w:val="14"/>
              </w:numPr>
              <w:jc w:val="both"/>
              <w:rPr>
                <w:rFonts w:asciiTheme="majorHAnsi" w:hAnsiTheme="majorHAnsi" w:cstheme="majorHAnsi"/>
              </w:rPr>
            </w:pPr>
            <w:r w:rsidRPr="00B66B0E">
              <w:rPr>
                <w:rFonts w:asciiTheme="majorHAnsi" w:hAnsiTheme="majorHAnsi" w:cstheme="majorHAnsi"/>
              </w:rPr>
              <w:t xml:space="preserve">Lit review of MISP training manual and GBV SOP, scoping review of GBV interventions, </w:t>
            </w:r>
          </w:p>
          <w:p w14:paraId="4925ED55" w14:textId="77777777" w:rsidR="00C176E8" w:rsidRPr="00B66B0E" w:rsidRDefault="00C176E8" w:rsidP="00C176E8">
            <w:pPr>
              <w:pStyle w:val="ListParagraph"/>
              <w:numPr>
                <w:ilvl w:val="0"/>
                <w:numId w:val="14"/>
              </w:numPr>
              <w:jc w:val="both"/>
              <w:rPr>
                <w:rFonts w:asciiTheme="majorHAnsi" w:hAnsiTheme="majorHAnsi" w:cstheme="majorHAnsi"/>
              </w:rPr>
            </w:pPr>
            <w:r w:rsidRPr="00B66B0E">
              <w:rPr>
                <w:rFonts w:asciiTheme="majorHAnsi" w:hAnsiTheme="majorHAnsi" w:cstheme="majorHAnsi"/>
              </w:rPr>
              <w:t>WHO study Rapid Assessment on Health Sector Capacity and Response to Gender based Violence in Pakistan</w:t>
            </w:r>
          </w:p>
          <w:p w14:paraId="4F0EB0FE" w14:textId="77777777" w:rsidR="00C176E8" w:rsidRPr="00B66B0E" w:rsidRDefault="00C176E8" w:rsidP="00C176E8">
            <w:pPr>
              <w:pStyle w:val="ListParagraph"/>
              <w:numPr>
                <w:ilvl w:val="0"/>
                <w:numId w:val="14"/>
              </w:numPr>
              <w:jc w:val="both"/>
              <w:rPr>
                <w:rFonts w:asciiTheme="majorHAnsi" w:hAnsiTheme="majorHAnsi" w:cstheme="majorHAnsi"/>
              </w:rPr>
            </w:pPr>
            <w:r w:rsidRPr="00B66B0E">
              <w:rPr>
                <w:rFonts w:asciiTheme="majorHAnsi" w:hAnsiTheme="majorHAnsi" w:cstheme="majorHAnsi"/>
              </w:rPr>
              <w:t xml:space="preserve">Baseline assessment Aagachi CGBV SWAT </w:t>
            </w:r>
          </w:p>
          <w:p w14:paraId="01A8D552" w14:textId="77777777" w:rsidR="00C176E8" w:rsidRPr="00B66B0E" w:rsidRDefault="00C176E8" w:rsidP="00C176E8">
            <w:pPr>
              <w:pStyle w:val="ListParagraph"/>
              <w:numPr>
                <w:ilvl w:val="0"/>
                <w:numId w:val="14"/>
              </w:numPr>
              <w:jc w:val="both"/>
              <w:rPr>
                <w:rFonts w:asciiTheme="majorHAnsi" w:hAnsiTheme="majorHAnsi" w:cstheme="majorHAnsi"/>
              </w:rPr>
            </w:pPr>
            <w:r w:rsidRPr="00B66B0E">
              <w:rPr>
                <w:rFonts w:asciiTheme="majorHAnsi" w:hAnsiTheme="majorHAnsi" w:cstheme="majorHAnsi"/>
              </w:rPr>
              <w:t xml:space="preserve">WHO health needs assessment in FATA </w:t>
            </w:r>
          </w:p>
          <w:p w14:paraId="450C647C" w14:textId="77777777" w:rsidR="00C176E8" w:rsidRPr="00B66B0E" w:rsidRDefault="00C176E8" w:rsidP="00C176E8">
            <w:pPr>
              <w:pStyle w:val="ListParagraph"/>
              <w:numPr>
                <w:ilvl w:val="0"/>
                <w:numId w:val="14"/>
              </w:numPr>
              <w:jc w:val="both"/>
              <w:rPr>
                <w:rFonts w:asciiTheme="majorHAnsi" w:hAnsiTheme="majorHAnsi" w:cstheme="majorHAnsi"/>
              </w:rPr>
            </w:pPr>
            <w:r w:rsidRPr="00B66B0E">
              <w:rPr>
                <w:rFonts w:asciiTheme="majorHAnsi" w:hAnsiTheme="majorHAnsi" w:cstheme="majorHAnsi"/>
              </w:rPr>
              <w:t xml:space="preserve">Health assessment (UNFPA) </w:t>
            </w:r>
          </w:p>
          <w:p w14:paraId="0777BDA5" w14:textId="77777777" w:rsidR="00C176E8" w:rsidRPr="00B66B0E" w:rsidRDefault="00C176E8" w:rsidP="00C176E8">
            <w:pPr>
              <w:pStyle w:val="ListParagraph"/>
              <w:numPr>
                <w:ilvl w:val="0"/>
                <w:numId w:val="14"/>
              </w:numPr>
              <w:jc w:val="both"/>
              <w:rPr>
                <w:rFonts w:asciiTheme="majorHAnsi" w:hAnsiTheme="majorHAnsi" w:cstheme="majorHAnsi"/>
              </w:rPr>
            </w:pPr>
            <w:r w:rsidRPr="00B66B0E">
              <w:rPr>
                <w:rFonts w:asciiTheme="majorHAnsi" w:hAnsiTheme="majorHAnsi" w:cstheme="majorHAnsi"/>
              </w:rPr>
              <w:t xml:space="preserve">Development policy of directorate (health) </w:t>
            </w:r>
          </w:p>
          <w:p w14:paraId="17B324A8" w14:textId="77777777" w:rsidR="00C176E8" w:rsidRPr="00B66B0E" w:rsidRDefault="00C176E8" w:rsidP="00C176E8">
            <w:pPr>
              <w:pStyle w:val="ListParagraph"/>
              <w:numPr>
                <w:ilvl w:val="0"/>
                <w:numId w:val="14"/>
              </w:numPr>
              <w:jc w:val="both"/>
              <w:rPr>
                <w:rFonts w:asciiTheme="majorHAnsi" w:hAnsiTheme="majorHAnsi" w:cstheme="majorHAnsi"/>
              </w:rPr>
            </w:pPr>
            <w:r w:rsidRPr="00B66B0E">
              <w:rPr>
                <w:rFonts w:asciiTheme="majorHAnsi" w:hAnsiTheme="majorHAnsi" w:cstheme="majorHAnsi"/>
              </w:rPr>
              <w:t>Study on transgender</w:t>
            </w:r>
          </w:p>
          <w:p w14:paraId="4E91FFF8" w14:textId="77777777" w:rsidR="00C176E8" w:rsidRPr="00B66B0E" w:rsidRDefault="00C176E8" w:rsidP="00C176E8">
            <w:pPr>
              <w:pStyle w:val="ListParagraph"/>
              <w:numPr>
                <w:ilvl w:val="0"/>
                <w:numId w:val="14"/>
              </w:numPr>
              <w:jc w:val="both"/>
              <w:rPr>
                <w:rFonts w:asciiTheme="majorHAnsi" w:hAnsiTheme="majorHAnsi" w:cstheme="majorHAnsi"/>
              </w:rPr>
            </w:pPr>
            <w:r w:rsidRPr="00B66B0E">
              <w:rPr>
                <w:rFonts w:asciiTheme="majorHAnsi" w:hAnsiTheme="majorHAnsi" w:cstheme="majorHAnsi"/>
              </w:rPr>
              <w:t xml:space="preserve">study on persons with </w:t>
            </w:r>
            <w:r w:rsidRPr="00B66B0E">
              <w:rPr>
                <w:rFonts w:asciiTheme="majorHAnsi" w:hAnsiTheme="majorHAnsi" w:cstheme="majorHAnsi"/>
                <w:lang w:eastAsia="ja-JP"/>
              </w:rPr>
              <w:t>disabilities</w:t>
            </w:r>
            <w:r w:rsidRPr="00B66B0E">
              <w:rPr>
                <w:rFonts w:asciiTheme="majorHAnsi" w:hAnsiTheme="majorHAnsi" w:cstheme="majorHAnsi"/>
              </w:rPr>
              <w:t xml:space="preserve">? (ask Handicap International)  </w:t>
            </w:r>
          </w:p>
          <w:p w14:paraId="5215BD1C" w14:textId="77777777" w:rsidR="00C176E8" w:rsidRPr="00B66B0E" w:rsidRDefault="00C176E8" w:rsidP="00C176E8">
            <w:pPr>
              <w:pStyle w:val="ListParagraph"/>
              <w:numPr>
                <w:ilvl w:val="0"/>
                <w:numId w:val="14"/>
              </w:numPr>
              <w:jc w:val="both"/>
              <w:rPr>
                <w:rFonts w:asciiTheme="majorHAnsi" w:hAnsiTheme="majorHAnsi" w:cstheme="majorHAnsi"/>
              </w:rPr>
            </w:pPr>
            <w:r w:rsidRPr="00B66B0E">
              <w:rPr>
                <w:rFonts w:asciiTheme="majorHAnsi" w:hAnsiTheme="majorHAnsi" w:cstheme="majorHAnsi"/>
              </w:rPr>
              <w:t xml:space="preserve">Any literature from Afghanistan side? </w:t>
            </w:r>
          </w:p>
          <w:p w14:paraId="2704CA38" w14:textId="77777777" w:rsidR="00C176E8" w:rsidRPr="00B66B0E" w:rsidRDefault="00C176E8" w:rsidP="00C176E8">
            <w:pPr>
              <w:pStyle w:val="ListParagraph"/>
              <w:numPr>
                <w:ilvl w:val="0"/>
                <w:numId w:val="8"/>
              </w:numPr>
              <w:spacing w:after="120" w:line="240" w:lineRule="auto"/>
              <w:jc w:val="both"/>
              <w:rPr>
                <w:rFonts w:asciiTheme="majorHAnsi" w:hAnsiTheme="majorHAnsi" w:cstheme="majorHAnsi"/>
                <w:b/>
              </w:rPr>
            </w:pPr>
          </w:p>
          <w:p w14:paraId="7DCE8129" w14:textId="77777777" w:rsidR="00C176E8" w:rsidRPr="00B66B0E" w:rsidRDefault="00C176E8" w:rsidP="00C176E8">
            <w:pPr>
              <w:pStyle w:val="ListParagraph"/>
              <w:numPr>
                <w:ilvl w:val="0"/>
                <w:numId w:val="15"/>
              </w:numPr>
              <w:spacing w:after="120"/>
              <w:jc w:val="both"/>
              <w:rPr>
                <w:rFonts w:asciiTheme="majorHAnsi" w:hAnsiTheme="majorHAnsi" w:cstheme="majorHAnsi"/>
                <w:b/>
              </w:rPr>
            </w:pPr>
            <w:r w:rsidRPr="00B66B0E">
              <w:rPr>
                <w:rFonts w:asciiTheme="majorHAnsi" w:hAnsiTheme="majorHAnsi" w:cstheme="majorHAnsi"/>
                <w:b/>
              </w:rPr>
              <w:t>Multi-Stakeholder Consultation</w:t>
            </w:r>
          </w:p>
          <w:p w14:paraId="763DF249" w14:textId="77777777" w:rsidR="00C176E8" w:rsidRPr="0034529D" w:rsidRDefault="00C176E8" w:rsidP="00C176E8">
            <w:pPr>
              <w:spacing w:after="120"/>
              <w:jc w:val="both"/>
              <w:rPr>
                <w:rFonts w:asciiTheme="majorHAnsi" w:hAnsiTheme="majorHAnsi" w:cstheme="majorHAnsi"/>
                <w:b/>
                <w:sz w:val="22"/>
                <w:szCs w:val="22"/>
              </w:rPr>
            </w:pPr>
            <w:r w:rsidRPr="0034529D">
              <w:rPr>
                <w:rFonts w:asciiTheme="majorHAnsi" w:hAnsiTheme="majorHAnsi" w:cstheme="majorHAnsi"/>
                <w:sz w:val="22"/>
                <w:szCs w:val="22"/>
              </w:rPr>
              <w:t>The consultation will be held with community based organizations, civil society organizations</w:t>
            </w:r>
            <w:r>
              <w:rPr>
                <w:rFonts w:asciiTheme="majorHAnsi" w:hAnsiTheme="majorHAnsi" w:cstheme="majorHAnsi"/>
                <w:sz w:val="22"/>
                <w:szCs w:val="22"/>
              </w:rPr>
              <w:t>, I/NGOs</w:t>
            </w:r>
            <w:r w:rsidRPr="0034529D">
              <w:rPr>
                <w:rFonts w:asciiTheme="majorHAnsi" w:hAnsiTheme="majorHAnsi" w:cstheme="majorHAnsi"/>
                <w:sz w:val="22"/>
                <w:szCs w:val="22"/>
              </w:rPr>
              <w:t xml:space="preserve">, relevant government departments and with UN agencies to gain a general understanding of the context and to identify/ narrow down key informants for subsequent interviews.      </w:t>
            </w:r>
          </w:p>
          <w:p w14:paraId="4184C60B" w14:textId="77777777" w:rsidR="00C176E8" w:rsidRPr="00B66B0E" w:rsidRDefault="00C176E8" w:rsidP="00C176E8">
            <w:pPr>
              <w:pStyle w:val="ListParagraph"/>
              <w:numPr>
                <w:ilvl w:val="0"/>
                <w:numId w:val="15"/>
              </w:numPr>
              <w:spacing w:after="120"/>
              <w:jc w:val="both"/>
              <w:rPr>
                <w:rFonts w:asciiTheme="majorHAnsi" w:hAnsiTheme="majorHAnsi" w:cstheme="majorHAnsi"/>
                <w:b/>
              </w:rPr>
            </w:pPr>
            <w:r w:rsidRPr="00B66B0E">
              <w:rPr>
                <w:rFonts w:asciiTheme="majorHAnsi" w:hAnsiTheme="majorHAnsi" w:cstheme="majorHAnsi"/>
                <w:b/>
              </w:rPr>
              <w:t>Key Informant Interviews</w:t>
            </w:r>
          </w:p>
          <w:p w14:paraId="1DAE60A6" w14:textId="77777777" w:rsidR="00C176E8" w:rsidRPr="0034529D" w:rsidRDefault="00C176E8" w:rsidP="00C176E8">
            <w:pPr>
              <w:jc w:val="both"/>
              <w:rPr>
                <w:rFonts w:asciiTheme="majorHAnsi" w:hAnsiTheme="majorHAnsi" w:cstheme="majorHAnsi"/>
                <w:sz w:val="22"/>
                <w:szCs w:val="22"/>
              </w:rPr>
            </w:pPr>
            <w:r w:rsidRPr="0034529D">
              <w:rPr>
                <w:rFonts w:asciiTheme="majorHAnsi" w:hAnsiTheme="majorHAnsi" w:cstheme="majorHAnsi"/>
                <w:sz w:val="22"/>
                <w:szCs w:val="22"/>
              </w:rPr>
              <w:t xml:space="preserve">Individual meetings with relevant organisations to collect the following information: </w:t>
            </w:r>
          </w:p>
          <w:p w14:paraId="45BE932D" w14:textId="77777777" w:rsidR="00C176E8" w:rsidRPr="0034529D" w:rsidRDefault="00C176E8" w:rsidP="00C176E8">
            <w:pPr>
              <w:pStyle w:val="ListParagraph"/>
              <w:numPr>
                <w:ilvl w:val="0"/>
                <w:numId w:val="16"/>
              </w:numPr>
              <w:spacing w:after="0" w:line="240" w:lineRule="auto"/>
              <w:jc w:val="both"/>
              <w:rPr>
                <w:rFonts w:asciiTheme="majorHAnsi" w:hAnsiTheme="majorHAnsi" w:cstheme="majorHAnsi"/>
              </w:rPr>
            </w:pPr>
            <w:r w:rsidRPr="0034529D">
              <w:rPr>
                <w:rFonts w:asciiTheme="majorHAnsi" w:hAnsiTheme="majorHAnsi" w:cstheme="majorHAnsi"/>
              </w:rPr>
              <w:t xml:space="preserve">General structure of the organisation, mandate, geographical coverage, organisational capacity and how they network; </w:t>
            </w:r>
          </w:p>
          <w:p w14:paraId="3B20FB24" w14:textId="77777777" w:rsidR="00C176E8" w:rsidRPr="0034529D" w:rsidRDefault="00C176E8" w:rsidP="00C176E8">
            <w:pPr>
              <w:pStyle w:val="ListParagraph"/>
              <w:numPr>
                <w:ilvl w:val="0"/>
                <w:numId w:val="16"/>
              </w:numPr>
              <w:spacing w:after="0" w:line="240" w:lineRule="auto"/>
              <w:jc w:val="both"/>
              <w:rPr>
                <w:rFonts w:asciiTheme="majorHAnsi" w:hAnsiTheme="majorHAnsi" w:cstheme="majorHAnsi"/>
              </w:rPr>
            </w:pPr>
            <w:r w:rsidRPr="0034529D">
              <w:rPr>
                <w:rFonts w:asciiTheme="majorHAnsi" w:hAnsiTheme="majorHAnsi" w:cstheme="majorHAnsi"/>
              </w:rPr>
              <w:t>Past experience in dealing with GBV cases and willingness to incorporate GBV prevention and response in their programme;</w:t>
            </w:r>
          </w:p>
          <w:p w14:paraId="7B4F6D17" w14:textId="77777777" w:rsidR="00C176E8" w:rsidRPr="0034529D" w:rsidRDefault="00C176E8" w:rsidP="00C176E8">
            <w:pPr>
              <w:pStyle w:val="ListParagraph"/>
              <w:numPr>
                <w:ilvl w:val="0"/>
                <w:numId w:val="16"/>
              </w:numPr>
              <w:spacing w:after="120" w:line="240" w:lineRule="auto"/>
              <w:jc w:val="both"/>
              <w:rPr>
                <w:rFonts w:asciiTheme="majorHAnsi" w:hAnsiTheme="majorHAnsi" w:cstheme="majorHAnsi"/>
              </w:rPr>
            </w:pPr>
            <w:r w:rsidRPr="0034529D">
              <w:rPr>
                <w:rFonts w:asciiTheme="majorHAnsi" w:hAnsiTheme="majorHAnsi" w:cstheme="majorHAnsi"/>
              </w:rPr>
              <w:t xml:space="preserve">Perception about the needs and gaps of GBV services, including knowledge, attitude and practice </w:t>
            </w:r>
          </w:p>
          <w:p w14:paraId="31190377" w14:textId="77777777" w:rsidR="00C176E8" w:rsidRPr="0034529D" w:rsidRDefault="00C176E8" w:rsidP="00C176E8">
            <w:pPr>
              <w:pStyle w:val="ListParagraph"/>
              <w:numPr>
                <w:ilvl w:val="0"/>
                <w:numId w:val="16"/>
              </w:numPr>
              <w:spacing w:after="120" w:line="240" w:lineRule="auto"/>
              <w:jc w:val="both"/>
              <w:rPr>
                <w:rFonts w:asciiTheme="majorHAnsi" w:hAnsiTheme="majorHAnsi" w:cstheme="majorHAnsi"/>
              </w:rPr>
            </w:pPr>
            <w:r w:rsidRPr="0034529D">
              <w:rPr>
                <w:rFonts w:asciiTheme="majorHAnsi" w:hAnsiTheme="majorHAnsi" w:cstheme="majorHAnsi"/>
              </w:rPr>
              <w:t>Capacity development needs for GBV prevention and response;</w:t>
            </w:r>
          </w:p>
          <w:p w14:paraId="27A6CCAA" w14:textId="77777777" w:rsidR="00C176E8" w:rsidRPr="0034529D" w:rsidRDefault="00C176E8" w:rsidP="00C176E8">
            <w:pPr>
              <w:spacing w:after="120"/>
              <w:ind w:left="360"/>
              <w:jc w:val="both"/>
              <w:rPr>
                <w:rFonts w:asciiTheme="majorHAnsi" w:hAnsiTheme="majorHAnsi" w:cstheme="majorHAnsi"/>
                <w:b/>
                <w:sz w:val="22"/>
                <w:szCs w:val="22"/>
              </w:rPr>
            </w:pPr>
            <w:r w:rsidRPr="0034529D">
              <w:rPr>
                <w:rFonts w:asciiTheme="majorHAnsi" w:hAnsiTheme="majorHAnsi" w:cstheme="majorHAnsi"/>
                <w:b/>
                <w:sz w:val="22"/>
                <w:szCs w:val="22"/>
              </w:rPr>
              <w:t>d. Focus Group Discussion</w:t>
            </w:r>
          </w:p>
          <w:p w14:paraId="450666D5" w14:textId="77777777" w:rsidR="00C176E8" w:rsidRPr="0034529D" w:rsidRDefault="00C176E8" w:rsidP="00C176E8">
            <w:pPr>
              <w:jc w:val="both"/>
              <w:rPr>
                <w:rFonts w:asciiTheme="majorHAnsi" w:hAnsiTheme="majorHAnsi" w:cstheme="majorHAnsi"/>
                <w:sz w:val="22"/>
                <w:szCs w:val="22"/>
              </w:rPr>
            </w:pPr>
            <w:r w:rsidRPr="0034529D">
              <w:rPr>
                <w:rFonts w:asciiTheme="majorHAnsi" w:hAnsiTheme="majorHAnsi" w:cstheme="majorHAnsi"/>
                <w:sz w:val="22"/>
                <w:szCs w:val="22"/>
              </w:rPr>
              <w:t xml:space="preserve">Focus group discussions will be conducted at the community level with women and adolescent girls and boys and men to examine gender relations, perception, knowledge, attitude and practices around gender based violence in families and communities. </w:t>
            </w:r>
          </w:p>
          <w:p w14:paraId="21A3C163" w14:textId="77777777" w:rsidR="00C176E8" w:rsidRPr="0034529D" w:rsidRDefault="00C176E8" w:rsidP="00C176E8">
            <w:pPr>
              <w:jc w:val="both"/>
              <w:rPr>
                <w:rFonts w:asciiTheme="majorHAnsi" w:hAnsiTheme="majorHAnsi" w:cstheme="majorHAnsi"/>
                <w:sz w:val="22"/>
                <w:szCs w:val="22"/>
              </w:rPr>
            </w:pPr>
          </w:p>
          <w:p w14:paraId="223EBBCC" w14:textId="77777777" w:rsidR="00C176E8" w:rsidRPr="0034529D" w:rsidRDefault="00C176E8" w:rsidP="00C176E8">
            <w:pPr>
              <w:jc w:val="both"/>
              <w:rPr>
                <w:rFonts w:asciiTheme="majorHAnsi" w:hAnsiTheme="majorHAnsi" w:cstheme="majorHAnsi"/>
                <w:sz w:val="22"/>
                <w:szCs w:val="22"/>
              </w:rPr>
            </w:pPr>
            <w:r w:rsidRPr="0034529D">
              <w:rPr>
                <w:rFonts w:asciiTheme="majorHAnsi" w:hAnsiTheme="majorHAnsi" w:cstheme="majorHAnsi"/>
                <w:sz w:val="22"/>
                <w:szCs w:val="22"/>
              </w:rPr>
              <w:t xml:space="preserve">Participants will be identified and invited by a range of approaches through existing networks and facilities.  </w:t>
            </w:r>
          </w:p>
          <w:p w14:paraId="5BB749DD" w14:textId="77777777" w:rsidR="00C176E8" w:rsidRPr="0034529D" w:rsidRDefault="00C176E8" w:rsidP="00C176E8">
            <w:pPr>
              <w:pStyle w:val="ListParagraph"/>
              <w:numPr>
                <w:ilvl w:val="0"/>
                <w:numId w:val="17"/>
              </w:numPr>
              <w:spacing w:after="0" w:line="240" w:lineRule="auto"/>
              <w:jc w:val="both"/>
              <w:rPr>
                <w:rFonts w:asciiTheme="majorHAnsi" w:hAnsiTheme="majorHAnsi" w:cstheme="majorHAnsi"/>
              </w:rPr>
            </w:pPr>
            <w:r w:rsidRPr="0034529D">
              <w:rPr>
                <w:rFonts w:asciiTheme="majorHAnsi" w:hAnsiTheme="majorHAnsi" w:cstheme="majorHAnsi"/>
              </w:rPr>
              <w:t>In merged districts, targeting host and returnees, Afghan women, men, adolescent girls and boys</w:t>
            </w:r>
            <w:r>
              <w:rPr>
                <w:rFonts w:asciiTheme="majorHAnsi" w:hAnsiTheme="majorHAnsi" w:cstheme="majorHAnsi"/>
              </w:rPr>
              <w:t xml:space="preserve"> (CSOs/ networks can be approached within the merged areas or in Peshawar for FDGs)</w:t>
            </w:r>
          </w:p>
          <w:p w14:paraId="21998B70" w14:textId="77777777" w:rsidR="00C176E8" w:rsidRPr="0034529D" w:rsidRDefault="00C176E8" w:rsidP="00C176E8">
            <w:pPr>
              <w:numPr>
                <w:ilvl w:val="0"/>
                <w:numId w:val="17"/>
              </w:numPr>
              <w:jc w:val="both"/>
              <w:rPr>
                <w:rFonts w:asciiTheme="majorHAnsi" w:hAnsiTheme="majorHAnsi" w:cstheme="majorHAnsi"/>
                <w:sz w:val="22"/>
                <w:szCs w:val="22"/>
              </w:rPr>
            </w:pPr>
            <w:r w:rsidRPr="0034529D">
              <w:rPr>
                <w:rFonts w:asciiTheme="majorHAnsi" w:hAnsiTheme="majorHAnsi" w:cstheme="majorHAnsi"/>
                <w:sz w:val="22"/>
                <w:szCs w:val="22"/>
              </w:rPr>
              <w:t xml:space="preserve">Additional FDGs will be organized in health facilities/ women friendly space with support of LHV/W (one day per week is dedicated for discussion/ activities for women in WFS, which can be used for FGDs. </w:t>
            </w:r>
          </w:p>
          <w:p w14:paraId="1A870D99" w14:textId="77777777" w:rsidR="00C176E8" w:rsidRPr="0034529D" w:rsidRDefault="00C176E8" w:rsidP="00C176E8">
            <w:pPr>
              <w:numPr>
                <w:ilvl w:val="0"/>
                <w:numId w:val="17"/>
              </w:numPr>
              <w:jc w:val="both"/>
              <w:rPr>
                <w:rFonts w:asciiTheme="majorHAnsi" w:hAnsiTheme="majorHAnsi" w:cstheme="majorHAnsi"/>
                <w:sz w:val="22"/>
                <w:szCs w:val="22"/>
              </w:rPr>
            </w:pPr>
            <w:r w:rsidRPr="0034529D">
              <w:rPr>
                <w:rFonts w:asciiTheme="majorHAnsi" w:hAnsiTheme="majorHAnsi" w:cstheme="majorHAnsi"/>
                <w:sz w:val="22"/>
                <w:szCs w:val="22"/>
              </w:rPr>
              <w:t>Women, men and children will be all engaged at a same time to ensure “closed and safe group” of women, especially when they are accompanied by a male guardian and children;</w:t>
            </w:r>
          </w:p>
          <w:p w14:paraId="4A216C1D" w14:textId="77777777" w:rsidR="00C176E8" w:rsidRPr="0034529D" w:rsidRDefault="00C176E8" w:rsidP="00C176E8">
            <w:pPr>
              <w:numPr>
                <w:ilvl w:val="0"/>
                <w:numId w:val="17"/>
              </w:numPr>
              <w:jc w:val="both"/>
              <w:rPr>
                <w:rFonts w:asciiTheme="majorHAnsi" w:hAnsiTheme="majorHAnsi" w:cstheme="majorHAnsi"/>
                <w:sz w:val="22"/>
                <w:szCs w:val="22"/>
              </w:rPr>
            </w:pPr>
            <w:r w:rsidRPr="0034529D">
              <w:rPr>
                <w:rFonts w:asciiTheme="majorHAnsi" w:hAnsiTheme="majorHAnsi" w:cstheme="majorHAnsi"/>
                <w:sz w:val="22"/>
                <w:szCs w:val="22"/>
              </w:rPr>
              <w:t xml:space="preserve">Female and male FGD facilitators will be recruited and trained thoroughly on the methodology.  </w:t>
            </w:r>
          </w:p>
          <w:p w14:paraId="7F3D83F3" w14:textId="77777777" w:rsidR="00C176E8" w:rsidRPr="0034529D" w:rsidRDefault="00C176E8" w:rsidP="00C176E8">
            <w:pPr>
              <w:jc w:val="both"/>
              <w:rPr>
                <w:rFonts w:asciiTheme="majorHAnsi" w:hAnsiTheme="majorHAnsi" w:cstheme="majorHAnsi"/>
                <w:sz w:val="22"/>
                <w:szCs w:val="22"/>
              </w:rPr>
            </w:pPr>
          </w:p>
          <w:tbl>
            <w:tblPr>
              <w:tblStyle w:val="TableGrid"/>
              <w:tblW w:w="7784" w:type="dxa"/>
              <w:jc w:val="center"/>
              <w:tblLook w:val="04A0" w:firstRow="1" w:lastRow="0" w:firstColumn="1" w:lastColumn="0" w:noHBand="0" w:noVBand="1"/>
            </w:tblPr>
            <w:tblGrid>
              <w:gridCol w:w="2662"/>
              <w:gridCol w:w="1375"/>
              <w:gridCol w:w="3747"/>
            </w:tblGrid>
            <w:tr w:rsidR="00C176E8" w:rsidRPr="0034529D" w14:paraId="1373F362" w14:textId="77777777" w:rsidTr="00A318B8">
              <w:trPr>
                <w:trHeight w:val="810"/>
                <w:jc w:val="center"/>
              </w:trPr>
              <w:tc>
                <w:tcPr>
                  <w:tcW w:w="2662" w:type="dxa"/>
                </w:tcPr>
                <w:p w14:paraId="75FC054C" w14:textId="77777777" w:rsidR="00C176E8" w:rsidRPr="0034529D" w:rsidRDefault="00C176E8" w:rsidP="00C176E8">
                  <w:pPr>
                    <w:jc w:val="center"/>
                    <w:rPr>
                      <w:rFonts w:asciiTheme="majorHAnsi" w:hAnsiTheme="majorHAnsi" w:cstheme="majorHAnsi"/>
                      <w:b/>
                      <w:sz w:val="22"/>
                      <w:szCs w:val="22"/>
                    </w:rPr>
                  </w:pPr>
                  <w:r w:rsidRPr="0034529D">
                    <w:rPr>
                      <w:rFonts w:asciiTheme="majorHAnsi" w:hAnsiTheme="majorHAnsi" w:cstheme="majorHAnsi"/>
                      <w:b/>
                      <w:sz w:val="22"/>
                      <w:szCs w:val="22"/>
                    </w:rPr>
                    <w:t>Participants</w:t>
                  </w:r>
                </w:p>
              </w:tc>
              <w:tc>
                <w:tcPr>
                  <w:tcW w:w="1375" w:type="dxa"/>
                </w:tcPr>
                <w:p w14:paraId="606436E8" w14:textId="77777777" w:rsidR="00C176E8" w:rsidRPr="0034529D" w:rsidRDefault="00C176E8" w:rsidP="00C176E8">
                  <w:pPr>
                    <w:jc w:val="center"/>
                    <w:rPr>
                      <w:rFonts w:asciiTheme="majorHAnsi" w:hAnsiTheme="majorHAnsi" w:cstheme="majorHAnsi"/>
                      <w:b/>
                      <w:sz w:val="22"/>
                      <w:szCs w:val="22"/>
                    </w:rPr>
                  </w:pPr>
                  <w:r w:rsidRPr="0034529D">
                    <w:rPr>
                      <w:rFonts w:asciiTheme="majorHAnsi" w:hAnsiTheme="majorHAnsi" w:cstheme="majorHAnsi"/>
                      <w:b/>
                      <w:sz w:val="22"/>
                      <w:szCs w:val="22"/>
                    </w:rPr>
                    <w:t># of discussions</w:t>
                  </w:r>
                </w:p>
                <w:p w14:paraId="7F9B5DAF" w14:textId="77777777" w:rsidR="00C176E8" w:rsidRPr="0034529D" w:rsidRDefault="00C176E8" w:rsidP="00C176E8">
                  <w:pPr>
                    <w:jc w:val="center"/>
                    <w:rPr>
                      <w:rFonts w:asciiTheme="majorHAnsi" w:hAnsiTheme="majorHAnsi" w:cstheme="majorHAnsi"/>
                      <w:b/>
                      <w:sz w:val="22"/>
                      <w:szCs w:val="22"/>
                    </w:rPr>
                  </w:pPr>
                  <w:r w:rsidRPr="0034529D">
                    <w:rPr>
                      <w:rFonts w:asciiTheme="majorHAnsi" w:hAnsiTheme="majorHAnsi" w:cstheme="majorHAnsi"/>
                      <w:b/>
                      <w:sz w:val="22"/>
                      <w:szCs w:val="22"/>
                    </w:rPr>
                    <w:t>Minimum</w:t>
                  </w:r>
                </w:p>
              </w:tc>
              <w:tc>
                <w:tcPr>
                  <w:tcW w:w="3747" w:type="dxa"/>
                </w:tcPr>
                <w:p w14:paraId="06660900" w14:textId="77777777" w:rsidR="00C176E8" w:rsidRPr="0034529D" w:rsidRDefault="00C176E8" w:rsidP="00C176E8">
                  <w:pPr>
                    <w:jc w:val="center"/>
                    <w:rPr>
                      <w:rFonts w:asciiTheme="majorHAnsi" w:hAnsiTheme="majorHAnsi" w:cstheme="majorHAnsi"/>
                      <w:b/>
                      <w:sz w:val="22"/>
                      <w:szCs w:val="22"/>
                    </w:rPr>
                  </w:pPr>
                  <w:r w:rsidRPr="0034529D">
                    <w:rPr>
                      <w:rFonts w:asciiTheme="majorHAnsi" w:hAnsiTheme="majorHAnsi" w:cstheme="majorHAnsi"/>
                      <w:b/>
                      <w:sz w:val="22"/>
                      <w:szCs w:val="22"/>
                    </w:rPr>
                    <w:t xml:space="preserve">Theme </w:t>
                  </w:r>
                </w:p>
              </w:tc>
            </w:tr>
            <w:tr w:rsidR="005A5ABE" w:rsidRPr="0034529D" w14:paraId="24820B36" w14:textId="77777777" w:rsidTr="00A318B8">
              <w:trPr>
                <w:trHeight w:val="544"/>
                <w:jc w:val="center"/>
              </w:trPr>
              <w:tc>
                <w:tcPr>
                  <w:tcW w:w="2662" w:type="dxa"/>
                </w:tcPr>
                <w:p w14:paraId="624CBAC9" w14:textId="77777777" w:rsidR="005A5ABE" w:rsidRPr="0034529D" w:rsidRDefault="005A5ABE" w:rsidP="005A5ABE">
                  <w:pPr>
                    <w:jc w:val="both"/>
                    <w:rPr>
                      <w:rFonts w:asciiTheme="majorHAnsi" w:hAnsiTheme="majorHAnsi" w:cstheme="majorHAnsi"/>
                      <w:sz w:val="22"/>
                      <w:szCs w:val="22"/>
                    </w:rPr>
                  </w:pPr>
                  <w:r w:rsidRPr="0034529D">
                    <w:rPr>
                      <w:rFonts w:asciiTheme="majorHAnsi" w:hAnsiTheme="majorHAnsi" w:cstheme="majorHAnsi"/>
                      <w:sz w:val="22"/>
                      <w:szCs w:val="22"/>
                    </w:rPr>
                    <w:t xml:space="preserve">Adult women age </w:t>
                  </w:r>
                </w:p>
              </w:tc>
              <w:tc>
                <w:tcPr>
                  <w:tcW w:w="1375" w:type="dxa"/>
                </w:tcPr>
                <w:p w14:paraId="34A69619" w14:textId="77777777" w:rsidR="005A5ABE" w:rsidRPr="0034529D" w:rsidRDefault="005A5ABE" w:rsidP="005A5ABE">
                  <w:pPr>
                    <w:jc w:val="center"/>
                    <w:rPr>
                      <w:rFonts w:asciiTheme="majorHAnsi" w:hAnsiTheme="majorHAnsi" w:cstheme="majorHAnsi"/>
                      <w:sz w:val="22"/>
                      <w:szCs w:val="22"/>
                    </w:rPr>
                  </w:pPr>
                  <w:r w:rsidRPr="0034529D">
                    <w:rPr>
                      <w:rFonts w:asciiTheme="majorHAnsi" w:hAnsiTheme="majorHAnsi" w:cstheme="majorHAnsi"/>
                      <w:sz w:val="22"/>
                      <w:szCs w:val="22"/>
                    </w:rPr>
                    <w:t>6</w:t>
                  </w:r>
                </w:p>
              </w:tc>
              <w:tc>
                <w:tcPr>
                  <w:tcW w:w="3747" w:type="dxa"/>
                </w:tcPr>
                <w:p w14:paraId="75D91831" w14:textId="77777777" w:rsidR="005A5ABE" w:rsidRPr="0034529D" w:rsidRDefault="005A5ABE" w:rsidP="005A5ABE">
                  <w:pPr>
                    <w:jc w:val="both"/>
                    <w:rPr>
                      <w:rFonts w:asciiTheme="majorHAnsi" w:hAnsiTheme="majorHAnsi" w:cstheme="majorHAnsi"/>
                      <w:sz w:val="22"/>
                      <w:szCs w:val="22"/>
                    </w:rPr>
                  </w:pPr>
                  <w:r w:rsidRPr="0034529D">
                    <w:rPr>
                      <w:rFonts w:asciiTheme="majorHAnsi" w:hAnsiTheme="majorHAnsi" w:cstheme="majorHAnsi"/>
                      <w:sz w:val="22"/>
                      <w:szCs w:val="22"/>
                    </w:rPr>
                    <w:t>Gender roles, perception</w:t>
                  </w:r>
                  <w:r>
                    <w:rPr>
                      <w:rFonts w:asciiTheme="majorHAnsi" w:hAnsiTheme="majorHAnsi" w:cstheme="majorHAnsi"/>
                      <w:sz w:val="22"/>
                      <w:szCs w:val="22"/>
                    </w:rPr>
                    <w:t>s on safety and well- being</w:t>
                  </w:r>
                  <w:r w:rsidRPr="0034529D">
                    <w:rPr>
                      <w:rFonts w:asciiTheme="majorHAnsi" w:hAnsiTheme="majorHAnsi" w:cstheme="majorHAnsi"/>
                      <w:sz w:val="22"/>
                      <w:szCs w:val="22"/>
                    </w:rPr>
                    <w:t>, types of</w:t>
                  </w:r>
                  <w:r>
                    <w:rPr>
                      <w:rFonts w:asciiTheme="majorHAnsi" w:hAnsiTheme="majorHAnsi" w:cstheme="majorHAnsi"/>
                      <w:sz w:val="22"/>
                      <w:szCs w:val="22"/>
                    </w:rPr>
                    <w:t xml:space="preserve"> safety concerns</w:t>
                  </w:r>
                  <w:r w:rsidRPr="0034529D">
                    <w:rPr>
                      <w:rFonts w:asciiTheme="majorHAnsi" w:hAnsiTheme="majorHAnsi" w:cstheme="majorHAnsi"/>
                      <w:sz w:val="22"/>
                      <w:szCs w:val="22"/>
                    </w:rPr>
                    <w:t>, access to services</w:t>
                  </w:r>
                </w:p>
              </w:tc>
            </w:tr>
            <w:tr w:rsidR="005A5ABE" w:rsidRPr="0034529D" w14:paraId="36AA3F1A" w14:textId="77777777" w:rsidTr="00A318B8">
              <w:trPr>
                <w:trHeight w:val="532"/>
                <w:jc w:val="center"/>
              </w:trPr>
              <w:tc>
                <w:tcPr>
                  <w:tcW w:w="2662" w:type="dxa"/>
                </w:tcPr>
                <w:p w14:paraId="2BF4D063" w14:textId="77777777" w:rsidR="005A5ABE" w:rsidRPr="0034529D" w:rsidRDefault="005A5ABE" w:rsidP="005A5ABE">
                  <w:pPr>
                    <w:jc w:val="both"/>
                    <w:rPr>
                      <w:rFonts w:asciiTheme="majorHAnsi" w:hAnsiTheme="majorHAnsi" w:cstheme="majorHAnsi"/>
                      <w:sz w:val="22"/>
                      <w:szCs w:val="22"/>
                    </w:rPr>
                  </w:pPr>
                  <w:r w:rsidRPr="0034529D">
                    <w:rPr>
                      <w:rFonts w:asciiTheme="majorHAnsi" w:hAnsiTheme="majorHAnsi" w:cstheme="majorHAnsi"/>
                      <w:sz w:val="22"/>
                      <w:szCs w:val="22"/>
                    </w:rPr>
                    <w:t>Adolescent girls age 10-19</w:t>
                  </w:r>
                </w:p>
              </w:tc>
              <w:tc>
                <w:tcPr>
                  <w:tcW w:w="1375" w:type="dxa"/>
                </w:tcPr>
                <w:p w14:paraId="69EB4186" w14:textId="77777777" w:rsidR="005A5ABE" w:rsidRPr="0034529D" w:rsidRDefault="005A5ABE" w:rsidP="005A5ABE">
                  <w:pPr>
                    <w:jc w:val="center"/>
                    <w:rPr>
                      <w:rFonts w:asciiTheme="majorHAnsi" w:hAnsiTheme="majorHAnsi" w:cstheme="majorHAnsi"/>
                      <w:sz w:val="22"/>
                      <w:szCs w:val="22"/>
                    </w:rPr>
                  </w:pPr>
                  <w:r w:rsidRPr="0034529D">
                    <w:rPr>
                      <w:rFonts w:asciiTheme="majorHAnsi" w:hAnsiTheme="majorHAnsi" w:cstheme="majorHAnsi"/>
                      <w:sz w:val="22"/>
                      <w:szCs w:val="22"/>
                    </w:rPr>
                    <w:t>3</w:t>
                  </w:r>
                </w:p>
              </w:tc>
              <w:tc>
                <w:tcPr>
                  <w:tcW w:w="3747" w:type="dxa"/>
                </w:tcPr>
                <w:p w14:paraId="013DB08A" w14:textId="77777777" w:rsidR="005A5ABE" w:rsidRPr="0034529D" w:rsidRDefault="005A5ABE" w:rsidP="005A5ABE">
                  <w:pPr>
                    <w:jc w:val="both"/>
                    <w:rPr>
                      <w:rFonts w:asciiTheme="majorHAnsi" w:hAnsiTheme="majorHAnsi" w:cstheme="majorHAnsi"/>
                      <w:sz w:val="22"/>
                      <w:szCs w:val="22"/>
                    </w:rPr>
                  </w:pPr>
                  <w:r w:rsidRPr="0034529D">
                    <w:rPr>
                      <w:rFonts w:asciiTheme="majorHAnsi" w:hAnsiTheme="majorHAnsi" w:cstheme="majorHAnsi"/>
                      <w:sz w:val="22"/>
                      <w:szCs w:val="22"/>
                    </w:rPr>
                    <w:t>Gender roles,</w:t>
                  </w:r>
                  <w:r>
                    <w:rPr>
                      <w:rFonts w:asciiTheme="majorHAnsi" w:hAnsiTheme="majorHAnsi" w:cstheme="majorHAnsi"/>
                      <w:sz w:val="22"/>
                      <w:szCs w:val="22"/>
                    </w:rPr>
                    <w:t xml:space="preserve"> p</w:t>
                  </w:r>
                  <w:r w:rsidRPr="0034529D">
                    <w:rPr>
                      <w:rFonts w:asciiTheme="majorHAnsi" w:hAnsiTheme="majorHAnsi" w:cstheme="majorHAnsi"/>
                      <w:sz w:val="22"/>
                      <w:szCs w:val="22"/>
                    </w:rPr>
                    <w:t>erception</w:t>
                  </w:r>
                  <w:r>
                    <w:rPr>
                      <w:rFonts w:asciiTheme="majorHAnsi" w:hAnsiTheme="majorHAnsi" w:cstheme="majorHAnsi"/>
                      <w:sz w:val="22"/>
                      <w:szCs w:val="22"/>
                    </w:rPr>
                    <w:t>s and wellbeing</w:t>
                  </w:r>
                  <w:r w:rsidRPr="0034529D">
                    <w:rPr>
                      <w:rFonts w:asciiTheme="majorHAnsi" w:hAnsiTheme="majorHAnsi" w:cstheme="majorHAnsi"/>
                      <w:sz w:val="22"/>
                      <w:szCs w:val="22"/>
                    </w:rPr>
                    <w:t>, types of GBV, access to services</w:t>
                  </w:r>
                </w:p>
              </w:tc>
            </w:tr>
            <w:tr w:rsidR="005A5ABE" w:rsidRPr="0034529D" w14:paraId="6C9C302F" w14:textId="77777777" w:rsidTr="00A318B8">
              <w:trPr>
                <w:trHeight w:val="544"/>
                <w:jc w:val="center"/>
              </w:trPr>
              <w:tc>
                <w:tcPr>
                  <w:tcW w:w="2662" w:type="dxa"/>
                </w:tcPr>
                <w:p w14:paraId="3C439F4A" w14:textId="77777777" w:rsidR="005A5ABE" w:rsidRPr="0034529D" w:rsidRDefault="005A5ABE" w:rsidP="005A5ABE">
                  <w:pPr>
                    <w:jc w:val="both"/>
                    <w:rPr>
                      <w:rFonts w:asciiTheme="majorHAnsi" w:hAnsiTheme="majorHAnsi" w:cstheme="majorHAnsi"/>
                      <w:sz w:val="22"/>
                      <w:szCs w:val="22"/>
                    </w:rPr>
                  </w:pPr>
                  <w:r w:rsidRPr="0034529D">
                    <w:rPr>
                      <w:rFonts w:asciiTheme="majorHAnsi" w:hAnsiTheme="majorHAnsi" w:cstheme="majorHAnsi"/>
                      <w:sz w:val="22"/>
                      <w:szCs w:val="22"/>
                    </w:rPr>
                    <w:t>Adolescent boys age 10- 19</w:t>
                  </w:r>
                </w:p>
              </w:tc>
              <w:tc>
                <w:tcPr>
                  <w:tcW w:w="1375" w:type="dxa"/>
                </w:tcPr>
                <w:p w14:paraId="0942ACD5" w14:textId="77777777" w:rsidR="005A5ABE" w:rsidRPr="0034529D" w:rsidRDefault="005A5ABE" w:rsidP="005A5ABE">
                  <w:pPr>
                    <w:jc w:val="center"/>
                    <w:rPr>
                      <w:rFonts w:asciiTheme="majorHAnsi" w:hAnsiTheme="majorHAnsi" w:cstheme="majorHAnsi"/>
                      <w:sz w:val="22"/>
                      <w:szCs w:val="22"/>
                    </w:rPr>
                  </w:pPr>
                  <w:r>
                    <w:rPr>
                      <w:rFonts w:asciiTheme="majorHAnsi" w:hAnsiTheme="majorHAnsi" w:cstheme="majorHAnsi"/>
                      <w:sz w:val="22"/>
                      <w:szCs w:val="22"/>
                    </w:rPr>
                    <w:t>3</w:t>
                  </w:r>
                </w:p>
              </w:tc>
              <w:tc>
                <w:tcPr>
                  <w:tcW w:w="3747" w:type="dxa"/>
                </w:tcPr>
                <w:p w14:paraId="5DED1DC6" w14:textId="77777777" w:rsidR="005A5ABE" w:rsidRPr="0034529D" w:rsidRDefault="005A5ABE" w:rsidP="005A5ABE">
                  <w:pPr>
                    <w:jc w:val="both"/>
                    <w:rPr>
                      <w:rFonts w:asciiTheme="majorHAnsi" w:hAnsiTheme="majorHAnsi" w:cstheme="majorHAnsi"/>
                      <w:sz w:val="22"/>
                      <w:szCs w:val="22"/>
                    </w:rPr>
                  </w:pPr>
                  <w:r w:rsidRPr="0034529D">
                    <w:rPr>
                      <w:rFonts w:asciiTheme="majorHAnsi" w:hAnsiTheme="majorHAnsi" w:cstheme="majorHAnsi"/>
                      <w:sz w:val="22"/>
                      <w:szCs w:val="22"/>
                    </w:rPr>
                    <w:t xml:space="preserve">Gender roles, knowledge, attitude and practices </w:t>
                  </w:r>
                </w:p>
              </w:tc>
            </w:tr>
            <w:tr w:rsidR="005A5ABE" w:rsidRPr="0034529D" w14:paraId="5504D71A" w14:textId="77777777" w:rsidTr="00A318B8">
              <w:trPr>
                <w:trHeight w:val="532"/>
                <w:jc w:val="center"/>
              </w:trPr>
              <w:tc>
                <w:tcPr>
                  <w:tcW w:w="2662" w:type="dxa"/>
                </w:tcPr>
                <w:p w14:paraId="3EF1738F" w14:textId="77777777" w:rsidR="005A5ABE" w:rsidRPr="0034529D" w:rsidRDefault="005A5ABE" w:rsidP="005A5ABE">
                  <w:pPr>
                    <w:jc w:val="both"/>
                    <w:rPr>
                      <w:rFonts w:asciiTheme="majorHAnsi" w:hAnsiTheme="majorHAnsi" w:cstheme="majorHAnsi"/>
                      <w:sz w:val="22"/>
                      <w:szCs w:val="22"/>
                    </w:rPr>
                  </w:pPr>
                  <w:r w:rsidRPr="0034529D">
                    <w:rPr>
                      <w:rFonts w:asciiTheme="majorHAnsi" w:hAnsiTheme="majorHAnsi" w:cstheme="majorHAnsi"/>
                      <w:sz w:val="22"/>
                      <w:szCs w:val="22"/>
                    </w:rPr>
                    <w:t xml:space="preserve">Adult men </w:t>
                  </w:r>
                </w:p>
              </w:tc>
              <w:tc>
                <w:tcPr>
                  <w:tcW w:w="1375" w:type="dxa"/>
                </w:tcPr>
                <w:p w14:paraId="4FEB11C9" w14:textId="77777777" w:rsidR="005A5ABE" w:rsidRPr="0034529D" w:rsidRDefault="005A5ABE" w:rsidP="005A5ABE">
                  <w:pPr>
                    <w:jc w:val="center"/>
                    <w:rPr>
                      <w:rFonts w:asciiTheme="majorHAnsi" w:hAnsiTheme="majorHAnsi" w:cstheme="majorHAnsi"/>
                      <w:sz w:val="22"/>
                      <w:szCs w:val="22"/>
                    </w:rPr>
                  </w:pPr>
                  <w:r>
                    <w:rPr>
                      <w:rFonts w:asciiTheme="majorHAnsi" w:hAnsiTheme="majorHAnsi" w:cstheme="majorHAnsi"/>
                      <w:sz w:val="22"/>
                      <w:szCs w:val="22"/>
                    </w:rPr>
                    <w:t>3</w:t>
                  </w:r>
                </w:p>
              </w:tc>
              <w:tc>
                <w:tcPr>
                  <w:tcW w:w="3747" w:type="dxa"/>
                </w:tcPr>
                <w:p w14:paraId="081627E3" w14:textId="77777777" w:rsidR="005A5ABE" w:rsidRPr="0034529D" w:rsidRDefault="005A5ABE" w:rsidP="005A5ABE">
                  <w:pPr>
                    <w:jc w:val="both"/>
                    <w:rPr>
                      <w:rFonts w:asciiTheme="majorHAnsi" w:hAnsiTheme="majorHAnsi" w:cstheme="majorHAnsi"/>
                      <w:sz w:val="22"/>
                      <w:szCs w:val="22"/>
                    </w:rPr>
                  </w:pPr>
                  <w:r w:rsidRPr="0034529D">
                    <w:rPr>
                      <w:rFonts w:asciiTheme="majorHAnsi" w:hAnsiTheme="majorHAnsi" w:cstheme="majorHAnsi"/>
                      <w:sz w:val="22"/>
                      <w:szCs w:val="22"/>
                    </w:rPr>
                    <w:t>Gender roles, perception</w:t>
                  </w:r>
                  <w:r>
                    <w:rPr>
                      <w:rFonts w:asciiTheme="majorHAnsi" w:hAnsiTheme="majorHAnsi" w:cstheme="majorHAnsi"/>
                      <w:sz w:val="22"/>
                      <w:szCs w:val="22"/>
                    </w:rPr>
                    <w:t>s on safety and wellbeing</w:t>
                  </w:r>
                  <w:r w:rsidRPr="0034529D">
                    <w:rPr>
                      <w:rFonts w:asciiTheme="majorHAnsi" w:hAnsiTheme="majorHAnsi" w:cstheme="majorHAnsi"/>
                      <w:sz w:val="22"/>
                      <w:szCs w:val="22"/>
                    </w:rPr>
                    <w:t xml:space="preserve">, knowledge, attitude and practices </w:t>
                  </w:r>
                </w:p>
              </w:tc>
            </w:tr>
          </w:tbl>
          <w:p w14:paraId="35BCDDA8" w14:textId="77777777" w:rsidR="00C176E8" w:rsidRPr="0034529D" w:rsidRDefault="00C176E8" w:rsidP="00C176E8">
            <w:pPr>
              <w:jc w:val="both"/>
              <w:rPr>
                <w:rFonts w:asciiTheme="majorHAnsi" w:hAnsiTheme="majorHAnsi" w:cstheme="majorHAnsi"/>
                <w:b/>
                <w:sz w:val="22"/>
                <w:szCs w:val="22"/>
              </w:rPr>
            </w:pPr>
            <w:r w:rsidRPr="0034529D">
              <w:rPr>
                <w:rFonts w:asciiTheme="majorHAnsi" w:hAnsiTheme="majorHAnsi" w:cstheme="majorHAnsi"/>
                <w:b/>
                <w:sz w:val="22"/>
                <w:szCs w:val="22"/>
              </w:rPr>
              <w:t xml:space="preserve">Geographical Location </w:t>
            </w:r>
          </w:p>
          <w:p w14:paraId="29904E60" w14:textId="77777777" w:rsidR="00C176E8" w:rsidRDefault="00C176E8" w:rsidP="00C176E8">
            <w:pPr>
              <w:jc w:val="both"/>
              <w:rPr>
                <w:rFonts w:asciiTheme="majorHAnsi" w:hAnsiTheme="majorHAnsi" w:cstheme="majorHAnsi"/>
                <w:sz w:val="22"/>
                <w:szCs w:val="22"/>
              </w:rPr>
            </w:pPr>
            <w:r w:rsidRPr="0034529D">
              <w:rPr>
                <w:rFonts w:asciiTheme="majorHAnsi" w:hAnsiTheme="majorHAnsi" w:cstheme="majorHAnsi"/>
                <w:sz w:val="22"/>
                <w:szCs w:val="22"/>
              </w:rPr>
              <w:t xml:space="preserve">The study will be conducted in </w:t>
            </w:r>
            <w:r>
              <w:rPr>
                <w:rFonts w:asciiTheme="majorHAnsi" w:hAnsiTheme="majorHAnsi" w:cstheme="majorHAnsi"/>
                <w:sz w:val="22"/>
                <w:szCs w:val="22"/>
              </w:rPr>
              <w:t>3 g</w:t>
            </w:r>
            <w:r w:rsidRPr="0034529D">
              <w:rPr>
                <w:rFonts w:asciiTheme="majorHAnsi" w:hAnsiTheme="majorHAnsi" w:cstheme="majorHAnsi"/>
                <w:sz w:val="22"/>
                <w:szCs w:val="22"/>
              </w:rPr>
              <w:t>eographical locations including Khyber, Peshawar and</w:t>
            </w:r>
            <w:r w:rsidR="004261A3">
              <w:rPr>
                <w:rFonts w:asciiTheme="majorHAnsi" w:hAnsiTheme="majorHAnsi" w:cstheme="majorHAnsi"/>
                <w:sz w:val="22"/>
                <w:szCs w:val="22"/>
              </w:rPr>
              <w:t xml:space="preserve"> Bannu </w:t>
            </w:r>
            <w:r>
              <w:rPr>
                <w:rFonts w:asciiTheme="majorHAnsi" w:hAnsiTheme="majorHAnsi" w:cstheme="majorHAnsi"/>
                <w:sz w:val="22"/>
                <w:szCs w:val="22"/>
              </w:rPr>
              <w:t xml:space="preserve">on the criteria of </w:t>
            </w:r>
            <w:r w:rsidRPr="0034529D">
              <w:rPr>
                <w:rFonts w:asciiTheme="majorHAnsi" w:hAnsiTheme="majorHAnsi" w:cstheme="majorHAnsi"/>
                <w:sz w:val="22"/>
                <w:szCs w:val="22"/>
              </w:rPr>
              <w:t xml:space="preserve">presence of afghan refugees, host communities, returnees and </w:t>
            </w:r>
            <w:r>
              <w:rPr>
                <w:rFonts w:asciiTheme="majorHAnsi" w:hAnsiTheme="majorHAnsi" w:cstheme="majorHAnsi"/>
                <w:sz w:val="22"/>
                <w:szCs w:val="22"/>
              </w:rPr>
              <w:t>returnees</w:t>
            </w:r>
            <w:r w:rsidRPr="0034529D">
              <w:rPr>
                <w:rFonts w:asciiTheme="majorHAnsi" w:hAnsiTheme="majorHAnsi" w:cstheme="majorHAnsi"/>
                <w:sz w:val="22"/>
                <w:szCs w:val="22"/>
              </w:rPr>
              <w:t xml:space="preserve">. </w:t>
            </w:r>
          </w:p>
          <w:p w14:paraId="201B7246" w14:textId="77777777" w:rsidR="00C176E8" w:rsidRDefault="00C176E8" w:rsidP="00C176E8">
            <w:pPr>
              <w:rPr>
                <w:rFonts w:asciiTheme="majorHAnsi" w:hAnsiTheme="majorHAnsi" w:cstheme="majorHAnsi"/>
                <w:b/>
                <w:sz w:val="22"/>
                <w:szCs w:val="22"/>
                <w:lang w:val="en-US"/>
              </w:rPr>
            </w:pPr>
          </w:p>
          <w:p w14:paraId="57FBA026" w14:textId="77777777" w:rsidR="006F32C9" w:rsidRPr="0034529D" w:rsidRDefault="006F32C9" w:rsidP="006F32C9">
            <w:pPr>
              <w:rPr>
                <w:rFonts w:asciiTheme="majorHAnsi" w:hAnsiTheme="majorHAnsi" w:cstheme="majorHAnsi"/>
                <w:b/>
                <w:sz w:val="22"/>
                <w:szCs w:val="22"/>
                <w:lang w:val="en-US"/>
              </w:rPr>
            </w:pPr>
            <w:r w:rsidRPr="0034529D">
              <w:rPr>
                <w:rFonts w:asciiTheme="majorHAnsi" w:hAnsiTheme="majorHAnsi" w:cstheme="majorHAnsi"/>
                <w:b/>
                <w:sz w:val="22"/>
                <w:szCs w:val="22"/>
                <w:lang w:val="en-US"/>
              </w:rPr>
              <w:t xml:space="preserve">Engagement of Team for the study </w:t>
            </w:r>
          </w:p>
          <w:p w14:paraId="6B3BBEE6" w14:textId="77777777" w:rsidR="006F32C9" w:rsidRPr="0034529D" w:rsidRDefault="006F32C9" w:rsidP="006F32C9">
            <w:pPr>
              <w:jc w:val="both"/>
              <w:rPr>
                <w:rFonts w:asciiTheme="majorHAnsi" w:hAnsiTheme="majorHAnsi" w:cstheme="majorHAnsi"/>
                <w:sz w:val="22"/>
                <w:szCs w:val="22"/>
                <w:lang w:val="en-US"/>
              </w:rPr>
            </w:pPr>
            <w:r w:rsidRPr="0034529D">
              <w:rPr>
                <w:rFonts w:asciiTheme="majorHAnsi" w:hAnsiTheme="majorHAnsi" w:cstheme="majorHAnsi"/>
                <w:sz w:val="22"/>
                <w:szCs w:val="22"/>
                <w:lang w:val="en-US"/>
              </w:rPr>
              <w:t>The study will be conducted through a team of consultants comprising of a</w:t>
            </w:r>
            <w:r>
              <w:rPr>
                <w:rFonts w:asciiTheme="majorHAnsi" w:hAnsiTheme="majorHAnsi" w:cstheme="majorHAnsi"/>
                <w:sz w:val="22"/>
                <w:szCs w:val="22"/>
                <w:lang w:val="en-US"/>
              </w:rPr>
              <w:t>n International C</w:t>
            </w:r>
            <w:r w:rsidRPr="0034529D">
              <w:rPr>
                <w:rFonts w:asciiTheme="majorHAnsi" w:hAnsiTheme="majorHAnsi" w:cstheme="majorHAnsi"/>
                <w:sz w:val="22"/>
                <w:szCs w:val="22"/>
                <w:lang w:val="en-US"/>
              </w:rPr>
              <w:t xml:space="preserve">onsultant </w:t>
            </w:r>
            <w:r>
              <w:rPr>
                <w:rFonts w:asciiTheme="majorHAnsi" w:hAnsiTheme="majorHAnsi" w:cstheme="majorHAnsi"/>
                <w:sz w:val="22"/>
                <w:szCs w:val="22"/>
                <w:lang w:val="en-US"/>
              </w:rPr>
              <w:t>as technical lead and a N</w:t>
            </w:r>
            <w:r w:rsidRPr="0034529D">
              <w:rPr>
                <w:rFonts w:asciiTheme="majorHAnsi" w:hAnsiTheme="majorHAnsi" w:cstheme="majorHAnsi"/>
                <w:sz w:val="22"/>
                <w:szCs w:val="22"/>
                <w:lang w:val="en-US"/>
              </w:rPr>
              <w:t>ational consultant</w:t>
            </w:r>
            <w:r>
              <w:rPr>
                <w:rFonts w:asciiTheme="majorHAnsi" w:hAnsiTheme="majorHAnsi" w:cstheme="majorHAnsi"/>
                <w:sz w:val="22"/>
                <w:szCs w:val="22"/>
                <w:lang w:val="en-US"/>
              </w:rPr>
              <w:t xml:space="preserve"> wi</w:t>
            </w:r>
            <w:r w:rsidR="004261A3">
              <w:rPr>
                <w:rFonts w:asciiTheme="majorHAnsi" w:hAnsiTheme="majorHAnsi" w:cstheme="majorHAnsi"/>
                <w:sz w:val="22"/>
                <w:szCs w:val="22"/>
                <w:lang w:val="en-US"/>
              </w:rPr>
              <w:t>th following</w:t>
            </w:r>
            <w:r w:rsidR="008A50DB">
              <w:rPr>
                <w:rFonts w:asciiTheme="majorHAnsi" w:hAnsiTheme="majorHAnsi" w:cstheme="majorHAnsi"/>
                <w:sz w:val="22"/>
                <w:szCs w:val="22"/>
                <w:lang w:val="en-US"/>
              </w:rPr>
              <w:t xml:space="preserve"> ToRS.</w:t>
            </w:r>
            <w:r w:rsidRPr="0034529D">
              <w:rPr>
                <w:rFonts w:asciiTheme="majorHAnsi" w:hAnsiTheme="majorHAnsi" w:cstheme="majorHAnsi"/>
                <w:sz w:val="22"/>
                <w:szCs w:val="22"/>
                <w:lang w:val="en-US"/>
              </w:rPr>
              <w:t xml:space="preserve">  </w:t>
            </w:r>
          </w:p>
          <w:p w14:paraId="6E176960" w14:textId="77777777" w:rsidR="006F32C9" w:rsidRPr="006F32C9" w:rsidRDefault="006F32C9" w:rsidP="006F32C9">
            <w:pPr>
              <w:jc w:val="both"/>
              <w:rPr>
                <w:rFonts w:asciiTheme="majorHAnsi" w:hAnsiTheme="majorHAnsi"/>
              </w:rPr>
            </w:pPr>
          </w:p>
          <w:p w14:paraId="13327067" w14:textId="77777777" w:rsidR="00717CB3" w:rsidRDefault="00717CB3">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Role of International Consultant </w:t>
            </w:r>
          </w:p>
          <w:p w14:paraId="110EE1E2" w14:textId="77777777" w:rsidR="00717CB3" w:rsidRPr="00717CB3" w:rsidRDefault="00705D80">
            <w:pPr>
              <w:spacing w:line="276" w:lineRule="auto"/>
              <w:jc w:val="both"/>
              <w:rPr>
                <w:rFonts w:ascii="Calibri" w:eastAsia="Calibri" w:hAnsi="Calibri" w:cs="Calibri"/>
                <w:sz w:val="22"/>
                <w:szCs w:val="22"/>
              </w:rPr>
            </w:pPr>
            <w:r>
              <w:rPr>
                <w:rFonts w:ascii="Calibri" w:eastAsia="Calibri" w:hAnsi="Calibri" w:cs="Calibri"/>
                <w:sz w:val="22"/>
                <w:szCs w:val="22"/>
              </w:rPr>
              <w:t>The International C</w:t>
            </w:r>
            <w:r w:rsidR="00717CB3" w:rsidRPr="00717CB3">
              <w:rPr>
                <w:rFonts w:ascii="Calibri" w:eastAsia="Calibri" w:hAnsi="Calibri" w:cs="Calibri"/>
                <w:sz w:val="22"/>
                <w:szCs w:val="22"/>
              </w:rPr>
              <w:t>onsultant</w:t>
            </w:r>
            <w:r>
              <w:rPr>
                <w:rFonts w:ascii="Calibri" w:eastAsia="Calibri" w:hAnsi="Calibri" w:cs="Calibri"/>
                <w:sz w:val="22"/>
                <w:szCs w:val="22"/>
              </w:rPr>
              <w:t xml:space="preserve"> (IC)</w:t>
            </w:r>
            <w:r w:rsidR="00717CB3" w:rsidRPr="00717CB3">
              <w:rPr>
                <w:rFonts w:ascii="Calibri" w:eastAsia="Calibri" w:hAnsi="Calibri" w:cs="Calibri"/>
                <w:sz w:val="22"/>
                <w:szCs w:val="22"/>
              </w:rPr>
              <w:t xml:space="preserve"> will provide overall technical lead to the study and compile report in line with study objectives.  </w:t>
            </w:r>
          </w:p>
          <w:p w14:paraId="02FC5301" w14:textId="77777777" w:rsidR="00717CB3" w:rsidRDefault="00717CB3">
            <w:pPr>
              <w:spacing w:line="276" w:lineRule="auto"/>
              <w:jc w:val="both"/>
              <w:rPr>
                <w:rFonts w:ascii="Calibri" w:eastAsia="Calibri" w:hAnsi="Calibri" w:cs="Calibri"/>
                <w:b/>
                <w:sz w:val="22"/>
                <w:szCs w:val="22"/>
              </w:rPr>
            </w:pPr>
          </w:p>
          <w:p w14:paraId="2508EDCF" w14:textId="77777777" w:rsidR="003A5300" w:rsidRPr="00D45AF5" w:rsidRDefault="00281C59">
            <w:pPr>
              <w:spacing w:line="276" w:lineRule="auto"/>
              <w:jc w:val="both"/>
              <w:rPr>
                <w:rFonts w:ascii="Calibri" w:eastAsia="Calibri" w:hAnsi="Calibri" w:cs="Calibri"/>
                <w:sz w:val="22"/>
                <w:szCs w:val="22"/>
              </w:rPr>
            </w:pPr>
            <w:r w:rsidRPr="00D45AF5">
              <w:rPr>
                <w:rFonts w:ascii="Calibri" w:eastAsia="Calibri" w:hAnsi="Calibri" w:cs="Calibri"/>
                <w:b/>
                <w:sz w:val="22"/>
                <w:szCs w:val="22"/>
              </w:rPr>
              <w:t xml:space="preserve">Key </w:t>
            </w:r>
            <w:r w:rsidR="005A5ABE">
              <w:rPr>
                <w:rFonts w:ascii="Calibri" w:eastAsia="Calibri" w:hAnsi="Calibri" w:cs="Calibri"/>
                <w:b/>
                <w:sz w:val="22"/>
                <w:szCs w:val="22"/>
              </w:rPr>
              <w:t>Responsibilities</w:t>
            </w:r>
            <w:r w:rsidRPr="00D45AF5">
              <w:rPr>
                <w:rFonts w:ascii="Calibri" w:eastAsia="Calibri" w:hAnsi="Calibri" w:cs="Calibri"/>
                <w:b/>
                <w:sz w:val="22"/>
                <w:szCs w:val="22"/>
              </w:rPr>
              <w:t>:</w:t>
            </w:r>
          </w:p>
          <w:p w14:paraId="6297EAA0" w14:textId="77777777" w:rsidR="00B61C3E" w:rsidRPr="002C7025" w:rsidRDefault="00B61C3E" w:rsidP="00B61C3E">
            <w:pPr>
              <w:jc w:val="both"/>
              <w:rPr>
                <w:rFonts w:asciiTheme="majorHAnsi" w:hAnsiTheme="majorHAnsi" w:cstheme="majorHAnsi"/>
                <w:sz w:val="22"/>
                <w:szCs w:val="22"/>
              </w:rPr>
            </w:pPr>
            <w:r w:rsidRPr="002C7025">
              <w:rPr>
                <w:rFonts w:asciiTheme="majorHAnsi" w:hAnsiTheme="majorHAnsi" w:cstheme="majorHAnsi"/>
                <w:sz w:val="22"/>
                <w:szCs w:val="22"/>
              </w:rPr>
              <w:t>In close coordination with UNFPA Pakistan CO, specifically with International Humanitarian Coordinator, day to day coordination with Program Analysts GBV IE</w:t>
            </w:r>
            <w:r w:rsidR="005A5ABE" w:rsidRPr="002C7025">
              <w:rPr>
                <w:rFonts w:asciiTheme="majorHAnsi" w:hAnsiTheme="majorHAnsi" w:cstheme="majorHAnsi"/>
                <w:sz w:val="22"/>
                <w:szCs w:val="22"/>
              </w:rPr>
              <w:t xml:space="preserve"> and the national consultant</w:t>
            </w:r>
            <w:r w:rsidRPr="002C7025">
              <w:rPr>
                <w:rFonts w:asciiTheme="majorHAnsi" w:hAnsiTheme="majorHAnsi" w:cstheme="majorHAnsi"/>
                <w:sz w:val="22"/>
                <w:szCs w:val="22"/>
              </w:rPr>
              <w:t>, the I</w:t>
            </w:r>
            <w:r w:rsidR="00DE7E2F" w:rsidRPr="002C7025">
              <w:rPr>
                <w:rFonts w:asciiTheme="majorHAnsi" w:hAnsiTheme="majorHAnsi" w:cstheme="majorHAnsi"/>
                <w:sz w:val="22"/>
                <w:szCs w:val="22"/>
              </w:rPr>
              <w:t xml:space="preserve">nternational </w:t>
            </w:r>
            <w:r w:rsidRPr="002C7025">
              <w:rPr>
                <w:rFonts w:asciiTheme="majorHAnsi" w:hAnsiTheme="majorHAnsi" w:cstheme="majorHAnsi"/>
                <w:sz w:val="22"/>
                <w:szCs w:val="22"/>
              </w:rPr>
              <w:t>C</w:t>
            </w:r>
            <w:r w:rsidR="00DE7E2F" w:rsidRPr="002C7025">
              <w:rPr>
                <w:rFonts w:asciiTheme="majorHAnsi" w:hAnsiTheme="majorHAnsi" w:cstheme="majorHAnsi"/>
                <w:sz w:val="22"/>
                <w:szCs w:val="22"/>
              </w:rPr>
              <w:t>onsultant</w:t>
            </w:r>
            <w:r w:rsidRPr="002C7025">
              <w:rPr>
                <w:rFonts w:asciiTheme="majorHAnsi" w:hAnsiTheme="majorHAnsi" w:cstheme="majorHAnsi"/>
                <w:sz w:val="22"/>
                <w:szCs w:val="22"/>
              </w:rPr>
              <w:t xml:space="preserve"> will be broadly responsible for; </w:t>
            </w:r>
          </w:p>
          <w:p w14:paraId="7910F774" w14:textId="77777777" w:rsidR="002C7025" w:rsidRPr="002C7025" w:rsidRDefault="002C7025" w:rsidP="002C7025">
            <w:pPr>
              <w:pStyle w:val="ListParagraph"/>
              <w:numPr>
                <w:ilvl w:val="0"/>
                <w:numId w:val="19"/>
              </w:numPr>
              <w:spacing w:after="0"/>
              <w:jc w:val="both"/>
              <w:rPr>
                <w:rFonts w:asciiTheme="majorHAnsi" w:hAnsiTheme="majorHAnsi" w:cstheme="majorHAnsi"/>
              </w:rPr>
            </w:pPr>
            <w:r w:rsidRPr="002C7025">
              <w:rPr>
                <w:rFonts w:asciiTheme="majorHAnsi" w:hAnsiTheme="majorHAnsi" w:cstheme="majorHAnsi"/>
              </w:rPr>
              <w:t xml:space="preserve">Develop and submit inception report elaborating on study implementation strategy, stakeholders to be consulted, sample size and timelines. </w:t>
            </w:r>
          </w:p>
          <w:p w14:paraId="1AF21C99" w14:textId="77777777" w:rsidR="002C7025" w:rsidRPr="002C7025" w:rsidRDefault="002C7025" w:rsidP="002C7025">
            <w:pPr>
              <w:numPr>
                <w:ilvl w:val="0"/>
                <w:numId w:val="19"/>
              </w:numPr>
              <w:contextualSpacing/>
              <w:jc w:val="both"/>
              <w:rPr>
                <w:rFonts w:asciiTheme="majorHAnsi" w:eastAsia="Calibri" w:hAnsiTheme="majorHAnsi" w:cstheme="majorHAnsi"/>
                <w:sz w:val="22"/>
                <w:szCs w:val="22"/>
              </w:rPr>
            </w:pPr>
            <w:r w:rsidRPr="002C7025">
              <w:rPr>
                <w:rFonts w:asciiTheme="majorHAnsi" w:eastAsia="Calibri" w:hAnsiTheme="majorHAnsi" w:cstheme="majorHAnsi"/>
                <w:sz w:val="22"/>
                <w:szCs w:val="22"/>
              </w:rPr>
              <w:t>Conduct desk review of the studies and reports compiled by various stakeholders with specific focus on KP and merged districts, on GBV. The desk review will be carried out jointly by the national and international consultants.</w:t>
            </w:r>
          </w:p>
          <w:p w14:paraId="553FCC02" w14:textId="77777777" w:rsidR="002C7025" w:rsidRPr="002C7025" w:rsidRDefault="002C7025" w:rsidP="002C7025">
            <w:pPr>
              <w:pStyle w:val="ListParagraph"/>
              <w:numPr>
                <w:ilvl w:val="0"/>
                <w:numId w:val="19"/>
              </w:numPr>
              <w:jc w:val="both"/>
              <w:rPr>
                <w:rFonts w:asciiTheme="majorHAnsi" w:hAnsiTheme="majorHAnsi" w:cstheme="majorHAnsi"/>
              </w:rPr>
            </w:pPr>
            <w:r w:rsidRPr="002C7025">
              <w:rPr>
                <w:rFonts w:asciiTheme="majorHAnsi" w:hAnsiTheme="majorHAnsi" w:cstheme="majorHAnsi"/>
              </w:rPr>
              <w:lastRenderedPageBreak/>
              <w:t>Develop study tools in close consultation with UNFPA CO and National Consultant.</w:t>
            </w:r>
          </w:p>
          <w:p w14:paraId="0B824BEF" w14:textId="77777777" w:rsidR="002C7025" w:rsidRPr="002C7025" w:rsidRDefault="002C7025" w:rsidP="002C7025">
            <w:pPr>
              <w:pStyle w:val="ListParagraph"/>
              <w:numPr>
                <w:ilvl w:val="0"/>
                <w:numId w:val="19"/>
              </w:numPr>
              <w:spacing w:after="0"/>
              <w:jc w:val="both"/>
              <w:rPr>
                <w:rFonts w:asciiTheme="majorHAnsi" w:hAnsiTheme="majorHAnsi" w:cstheme="majorHAnsi"/>
              </w:rPr>
            </w:pPr>
            <w:r w:rsidRPr="002C7025">
              <w:rPr>
                <w:rFonts w:asciiTheme="majorHAnsi" w:hAnsiTheme="majorHAnsi" w:cstheme="majorHAnsi"/>
              </w:rPr>
              <w:t xml:space="preserve">Provide technical guidance to the national consultant and field team on tools and undertaking the consultation process </w:t>
            </w:r>
            <w:r w:rsidRPr="002C7025">
              <w:rPr>
                <w:rFonts w:asciiTheme="majorHAnsi" w:eastAsia="Calibri" w:hAnsiTheme="majorHAnsi" w:cstheme="majorHAnsi"/>
              </w:rPr>
              <w:t xml:space="preserve">that should help identify and analyze different types of GBV, attitudes, practices and coping mechanisms, gaps, barriers, opportunities and advocacy with duty barriers. </w:t>
            </w:r>
          </w:p>
          <w:p w14:paraId="20A7D62F" w14:textId="77777777" w:rsidR="002C7025" w:rsidRPr="002C7025" w:rsidRDefault="002C7025" w:rsidP="002C7025">
            <w:pPr>
              <w:numPr>
                <w:ilvl w:val="0"/>
                <w:numId w:val="19"/>
              </w:numPr>
              <w:contextualSpacing/>
              <w:jc w:val="both"/>
              <w:rPr>
                <w:rFonts w:asciiTheme="majorHAnsi" w:eastAsia="Calibri" w:hAnsiTheme="majorHAnsi" w:cstheme="majorHAnsi"/>
                <w:sz w:val="22"/>
                <w:szCs w:val="22"/>
              </w:rPr>
            </w:pPr>
            <w:r w:rsidRPr="002C7025">
              <w:rPr>
                <w:rFonts w:asciiTheme="majorHAnsi" w:eastAsia="Calibri" w:hAnsiTheme="majorHAnsi" w:cstheme="majorHAnsi"/>
                <w:sz w:val="22"/>
                <w:szCs w:val="22"/>
              </w:rPr>
              <w:t xml:space="preserve">Provide technical guidance to the national consultant in compiling transcription and compilation of stakeholders’ consultation process.  </w:t>
            </w:r>
          </w:p>
          <w:p w14:paraId="61D0920D" w14:textId="77777777" w:rsidR="002C7025" w:rsidRPr="002C7025" w:rsidRDefault="002C7025" w:rsidP="002C7025">
            <w:pPr>
              <w:numPr>
                <w:ilvl w:val="0"/>
                <w:numId w:val="19"/>
              </w:numPr>
              <w:contextualSpacing/>
              <w:jc w:val="both"/>
              <w:rPr>
                <w:rFonts w:asciiTheme="majorHAnsi" w:eastAsia="Calibri" w:hAnsiTheme="majorHAnsi" w:cstheme="majorHAnsi"/>
                <w:sz w:val="22"/>
                <w:szCs w:val="22"/>
              </w:rPr>
            </w:pPr>
            <w:r w:rsidRPr="002C7025">
              <w:rPr>
                <w:rFonts w:asciiTheme="majorHAnsi" w:eastAsia="Calibri" w:hAnsiTheme="majorHAnsi" w:cstheme="majorHAnsi"/>
                <w:sz w:val="22"/>
                <w:szCs w:val="22"/>
              </w:rPr>
              <w:t>Compile and analyse information collected from the consultative process in line with study objectives in draft and final reports.</w:t>
            </w:r>
          </w:p>
          <w:p w14:paraId="197FF9C8" w14:textId="77777777" w:rsidR="002C7025" w:rsidRDefault="002C7025" w:rsidP="00EA7D3A">
            <w:pPr>
              <w:ind w:left="720"/>
              <w:contextualSpacing/>
              <w:jc w:val="both"/>
              <w:rPr>
                <w:rFonts w:ascii="Calibri" w:eastAsia="Calibri" w:hAnsi="Calibri" w:cs="Calibri"/>
                <w:b/>
                <w:sz w:val="22"/>
                <w:szCs w:val="22"/>
              </w:rPr>
            </w:pPr>
          </w:p>
          <w:p w14:paraId="5D9E2733" w14:textId="77777777" w:rsidR="003A5300" w:rsidRPr="00D45AF5" w:rsidRDefault="00281C59" w:rsidP="00EA7D3A">
            <w:pPr>
              <w:ind w:left="720"/>
              <w:contextualSpacing/>
              <w:jc w:val="both"/>
              <w:rPr>
                <w:rFonts w:ascii="Calibri" w:eastAsia="Calibri" w:hAnsi="Calibri" w:cs="Calibri"/>
                <w:b/>
                <w:sz w:val="22"/>
                <w:szCs w:val="22"/>
              </w:rPr>
            </w:pPr>
            <w:r w:rsidRPr="00D45AF5">
              <w:rPr>
                <w:rFonts w:ascii="Calibri" w:eastAsia="Calibri" w:hAnsi="Calibri" w:cs="Calibri"/>
                <w:b/>
                <w:sz w:val="22"/>
                <w:szCs w:val="22"/>
              </w:rPr>
              <w:t>Deliverables</w:t>
            </w:r>
          </w:p>
          <w:p w14:paraId="1752BC8D" w14:textId="77777777" w:rsidR="003A5300" w:rsidRDefault="00F357DF">
            <w:pPr>
              <w:numPr>
                <w:ilvl w:val="0"/>
                <w:numId w:val="1"/>
              </w:numPr>
              <w:pBdr>
                <w:top w:val="nil"/>
                <w:left w:val="nil"/>
                <w:bottom w:val="nil"/>
                <w:right w:val="nil"/>
                <w:between w:val="nil"/>
              </w:pBdr>
              <w:contextualSpacing/>
              <w:jc w:val="both"/>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 xml:space="preserve">Inception Report </w:t>
            </w:r>
          </w:p>
          <w:p w14:paraId="5C182BB6" w14:textId="77777777" w:rsidR="00D2353B" w:rsidRPr="00D45AF5" w:rsidRDefault="00D2353B">
            <w:pPr>
              <w:numPr>
                <w:ilvl w:val="0"/>
                <w:numId w:val="1"/>
              </w:numPr>
              <w:pBdr>
                <w:top w:val="nil"/>
                <w:left w:val="nil"/>
                <w:bottom w:val="nil"/>
                <w:right w:val="nil"/>
                <w:between w:val="nil"/>
              </w:pBdr>
              <w:contextualSpacing/>
              <w:jc w:val="both"/>
              <w:rPr>
                <w:rFonts w:ascii="Calibri" w:eastAsia="Calibri" w:hAnsi="Calibri" w:cs="Calibri"/>
                <w:color w:val="000000"/>
                <w:sz w:val="22"/>
                <w:szCs w:val="22"/>
              </w:rPr>
            </w:pPr>
            <w:r>
              <w:rPr>
                <w:rFonts w:ascii="Calibri" w:eastAsia="Calibri" w:hAnsi="Calibri" w:cs="Calibri"/>
                <w:color w:val="000000"/>
                <w:sz w:val="22"/>
                <w:szCs w:val="22"/>
              </w:rPr>
              <w:t>Study tools</w:t>
            </w:r>
          </w:p>
          <w:p w14:paraId="2651D1B1" w14:textId="77777777" w:rsidR="003A5300" w:rsidRPr="00BE2B13" w:rsidRDefault="00F357DF" w:rsidP="00BE2B13">
            <w:pPr>
              <w:numPr>
                <w:ilvl w:val="0"/>
                <w:numId w:val="1"/>
              </w:numPr>
              <w:contextualSpacing/>
              <w:jc w:val="both"/>
              <w:rPr>
                <w:rFonts w:ascii="Calibri" w:eastAsia="Calibri" w:hAnsi="Calibri" w:cs="Calibri"/>
                <w:sz w:val="22"/>
                <w:szCs w:val="22"/>
              </w:rPr>
            </w:pPr>
            <w:r>
              <w:rPr>
                <w:rFonts w:ascii="Calibri" w:eastAsia="Calibri" w:hAnsi="Calibri" w:cs="Calibri"/>
                <w:sz w:val="22"/>
                <w:szCs w:val="22"/>
              </w:rPr>
              <w:t>D</w:t>
            </w:r>
            <w:r w:rsidR="000F46EB">
              <w:rPr>
                <w:rFonts w:ascii="Calibri" w:eastAsia="Calibri" w:hAnsi="Calibri" w:cs="Calibri"/>
                <w:sz w:val="22"/>
                <w:szCs w:val="22"/>
              </w:rPr>
              <w:t xml:space="preserve">raft </w:t>
            </w:r>
            <w:r w:rsidR="005A5ABE">
              <w:rPr>
                <w:rFonts w:ascii="Calibri" w:eastAsia="Calibri" w:hAnsi="Calibri" w:cs="Calibri"/>
                <w:sz w:val="22"/>
                <w:szCs w:val="22"/>
              </w:rPr>
              <w:t xml:space="preserve">and final report on </w:t>
            </w:r>
            <w:r w:rsidR="001A2241">
              <w:rPr>
                <w:rFonts w:ascii="Calibri" w:eastAsia="Calibri" w:hAnsi="Calibri" w:cs="Calibri"/>
                <w:sz w:val="22"/>
                <w:szCs w:val="22"/>
              </w:rPr>
              <w:t>the Women and Girls safety and Wellbeing study in KP and Merged D</w:t>
            </w:r>
            <w:r w:rsidR="005A5ABE">
              <w:rPr>
                <w:rFonts w:ascii="Calibri" w:eastAsia="Calibri" w:hAnsi="Calibri" w:cs="Calibri"/>
                <w:sz w:val="22"/>
                <w:szCs w:val="22"/>
              </w:rPr>
              <w:t xml:space="preserve">istricts </w:t>
            </w:r>
          </w:p>
        </w:tc>
      </w:tr>
      <w:tr w:rsidR="003A5300" w:rsidRPr="00D45AF5" w14:paraId="7A9C889E" w14:textId="77777777" w:rsidTr="00A318B8">
        <w:tc>
          <w:tcPr>
            <w:tcW w:w="2434" w:type="dxa"/>
            <w:tcBorders>
              <w:top w:val="single" w:sz="6" w:space="0" w:color="000000"/>
              <w:left w:val="single" w:sz="6" w:space="0" w:color="000000"/>
              <w:bottom w:val="single" w:sz="6" w:space="0" w:color="000000"/>
            </w:tcBorders>
          </w:tcPr>
          <w:p w14:paraId="388CC4E7" w14:textId="77777777" w:rsidR="003A5300" w:rsidRPr="00D45AF5" w:rsidRDefault="00281C59">
            <w:pPr>
              <w:spacing w:before="100" w:after="100"/>
              <w:jc w:val="both"/>
              <w:rPr>
                <w:rFonts w:ascii="Calibri" w:eastAsia="Calibri" w:hAnsi="Calibri" w:cs="Calibri"/>
                <w:sz w:val="22"/>
                <w:szCs w:val="22"/>
              </w:rPr>
            </w:pPr>
            <w:r w:rsidRPr="00D45AF5">
              <w:rPr>
                <w:rFonts w:ascii="Calibri" w:eastAsia="Calibri" w:hAnsi="Calibri" w:cs="Calibri"/>
                <w:sz w:val="22"/>
                <w:szCs w:val="22"/>
              </w:rPr>
              <w:lastRenderedPageBreak/>
              <w:t>Duration and working schedule:</w:t>
            </w:r>
          </w:p>
        </w:tc>
        <w:tc>
          <w:tcPr>
            <w:tcW w:w="8010" w:type="dxa"/>
            <w:tcBorders>
              <w:top w:val="single" w:sz="6" w:space="0" w:color="000000"/>
              <w:left w:val="single" w:sz="6" w:space="0" w:color="000000"/>
              <w:bottom w:val="single" w:sz="6" w:space="0" w:color="000000"/>
              <w:right w:val="single" w:sz="6" w:space="0" w:color="000000"/>
            </w:tcBorders>
          </w:tcPr>
          <w:p w14:paraId="0B6AB115" w14:textId="77777777" w:rsidR="000B79E6" w:rsidRDefault="006030BD" w:rsidP="00CD78D2">
            <w:pPr>
              <w:spacing w:before="100" w:after="100"/>
              <w:jc w:val="both"/>
              <w:rPr>
                <w:rFonts w:ascii="Calibri" w:eastAsia="Calibri" w:hAnsi="Calibri" w:cs="Calibri"/>
                <w:color w:val="222222"/>
                <w:sz w:val="22"/>
                <w:szCs w:val="22"/>
              </w:rPr>
            </w:pPr>
            <w:r>
              <w:rPr>
                <w:rFonts w:ascii="Calibri" w:eastAsia="Calibri" w:hAnsi="Calibri" w:cs="Calibri"/>
                <w:color w:val="222222"/>
                <w:sz w:val="22"/>
                <w:szCs w:val="22"/>
              </w:rPr>
              <w:t>The assi</w:t>
            </w:r>
            <w:r w:rsidR="001A2241">
              <w:rPr>
                <w:rFonts w:ascii="Calibri" w:eastAsia="Calibri" w:hAnsi="Calibri" w:cs="Calibri"/>
                <w:color w:val="222222"/>
                <w:sz w:val="22"/>
                <w:szCs w:val="22"/>
              </w:rPr>
              <w:t xml:space="preserve">gnment should be completed in </w:t>
            </w:r>
            <w:r w:rsidR="00CD78D2">
              <w:rPr>
                <w:rFonts w:ascii="Calibri" w:eastAsia="Calibri" w:hAnsi="Calibri" w:cs="Calibri"/>
                <w:color w:val="222222"/>
                <w:sz w:val="22"/>
                <w:szCs w:val="22"/>
              </w:rPr>
              <w:t xml:space="preserve">29 working days spread over </w:t>
            </w:r>
            <w:r w:rsidR="001A2241">
              <w:rPr>
                <w:rFonts w:ascii="Calibri" w:eastAsia="Calibri" w:hAnsi="Calibri" w:cs="Calibri"/>
                <w:color w:val="222222"/>
                <w:sz w:val="22"/>
                <w:szCs w:val="22"/>
              </w:rPr>
              <w:t>12</w:t>
            </w:r>
            <w:r w:rsidR="00CD78D2">
              <w:rPr>
                <w:rFonts w:ascii="Calibri" w:eastAsia="Calibri" w:hAnsi="Calibri" w:cs="Calibri"/>
                <w:color w:val="222222"/>
                <w:sz w:val="22"/>
                <w:szCs w:val="22"/>
              </w:rPr>
              <w:t xml:space="preserve"> weeks starting from the date of contract </w:t>
            </w:r>
            <w:r w:rsidR="002C7025">
              <w:rPr>
                <w:rFonts w:ascii="Calibri" w:eastAsia="Calibri" w:hAnsi="Calibri" w:cs="Calibri"/>
                <w:color w:val="222222"/>
                <w:sz w:val="22"/>
                <w:szCs w:val="22"/>
              </w:rPr>
              <w:t>@USD 300/day x 29=8,700</w:t>
            </w:r>
          </w:p>
          <w:tbl>
            <w:tblPr>
              <w:tblStyle w:val="TableGrid"/>
              <w:tblW w:w="5000" w:type="pct"/>
              <w:tblLook w:val="04A0" w:firstRow="1" w:lastRow="0" w:firstColumn="1" w:lastColumn="0" w:noHBand="0" w:noVBand="1"/>
            </w:tblPr>
            <w:tblGrid>
              <w:gridCol w:w="3644"/>
              <w:gridCol w:w="1803"/>
              <w:gridCol w:w="2337"/>
            </w:tblGrid>
            <w:tr w:rsidR="000B79E6" w14:paraId="3D615148" w14:textId="77777777" w:rsidTr="00A318B8">
              <w:trPr>
                <w:trHeight w:val="340"/>
              </w:trPr>
              <w:tc>
                <w:tcPr>
                  <w:tcW w:w="2340" w:type="pct"/>
                </w:tcPr>
                <w:p w14:paraId="171819F8" w14:textId="77777777" w:rsidR="000B79E6" w:rsidRPr="00727DC1" w:rsidRDefault="000B79E6" w:rsidP="00407AE4">
                  <w:pPr>
                    <w:rPr>
                      <w:rFonts w:asciiTheme="majorHAnsi" w:hAnsiTheme="majorHAnsi" w:cstheme="majorHAnsi"/>
                      <w:b/>
                      <w:sz w:val="22"/>
                      <w:szCs w:val="22"/>
                    </w:rPr>
                  </w:pPr>
                  <w:r>
                    <w:rPr>
                      <w:rFonts w:asciiTheme="majorHAnsi" w:hAnsiTheme="majorHAnsi" w:cstheme="majorHAnsi"/>
                      <w:b/>
                      <w:sz w:val="22"/>
                      <w:szCs w:val="22"/>
                    </w:rPr>
                    <w:t>Deliverables/</w:t>
                  </w:r>
                  <w:r w:rsidRPr="00727DC1">
                    <w:rPr>
                      <w:rFonts w:asciiTheme="majorHAnsi" w:hAnsiTheme="majorHAnsi" w:cstheme="majorHAnsi"/>
                      <w:b/>
                      <w:sz w:val="22"/>
                      <w:szCs w:val="22"/>
                    </w:rPr>
                    <w:t>Task</w:t>
                  </w:r>
                </w:p>
              </w:tc>
              <w:tc>
                <w:tcPr>
                  <w:tcW w:w="1158" w:type="pct"/>
                </w:tcPr>
                <w:p w14:paraId="12A9006F" w14:textId="77777777" w:rsidR="000B79E6" w:rsidRPr="00727DC1" w:rsidRDefault="000B79E6" w:rsidP="00407AE4">
                  <w:pPr>
                    <w:jc w:val="center"/>
                    <w:rPr>
                      <w:rFonts w:asciiTheme="majorHAnsi" w:hAnsiTheme="majorHAnsi" w:cstheme="majorHAnsi"/>
                      <w:b/>
                      <w:sz w:val="22"/>
                      <w:szCs w:val="22"/>
                    </w:rPr>
                  </w:pPr>
                  <w:r w:rsidRPr="00727DC1">
                    <w:rPr>
                      <w:rFonts w:asciiTheme="majorHAnsi" w:hAnsiTheme="majorHAnsi" w:cstheme="majorHAnsi"/>
                      <w:b/>
                      <w:sz w:val="22"/>
                      <w:szCs w:val="22"/>
                    </w:rPr>
                    <w:t>Number of days</w:t>
                  </w:r>
                </w:p>
              </w:tc>
              <w:tc>
                <w:tcPr>
                  <w:tcW w:w="1501" w:type="pct"/>
                </w:tcPr>
                <w:p w14:paraId="788264C8" w14:textId="77777777" w:rsidR="000B79E6" w:rsidRPr="00727DC1" w:rsidRDefault="000B79E6" w:rsidP="009A4E38">
                  <w:pPr>
                    <w:jc w:val="center"/>
                    <w:rPr>
                      <w:rFonts w:asciiTheme="majorHAnsi" w:hAnsiTheme="majorHAnsi" w:cstheme="majorHAnsi"/>
                      <w:b/>
                      <w:sz w:val="22"/>
                      <w:szCs w:val="22"/>
                    </w:rPr>
                  </w:pPr>
                  <w:r>
                    <w:rPr>
                      <w:rFonts w:asciiTheme="majorHAnsi" w:hAnsiTheme="majorHAnsi" w:cstheme="majorHAnsi"/>
                      <w:b/>
                      <w:sz w:val="22"/>
                      <w:szCs w:val="22"/>
                    </w:rPr>
                    <w:t>Payment</w:t>
                  </w:r>
                </w:p>
              </w:tc>
            </w:tr>
            <w:tr w:rsidR="000B79E6" w14:paraId="19DAD590" w14:textId="77777777" w:rsidTr="00A318B8">
              <w:trPr>
                <w:trHeight w:val="397"/>
              </w:trPr>
              <w:tc>
                <w:tcPr>
                  <w:tcW w:w="2340" w:type="pct"/>
                </w:tcPr>
                <w:p w14:paraId="5977FE1D" w14:textId="77777777" w:rsidR="000B79E6" w:rsidRDefault="000B79E6" w:rsidP="00407AE4">
                  <w:pPr>
                    <w:rPr>
                      <w:rFonts w:asciiTheme="majorHAnsi" w:hAnsiTheme="majorHAnsi" w:cstheme="majorHAnsi"/>
                      <w:sz w:val="22"/>
                      <w:szCs w:val="22"/>
                    </w:rPr>
                  </w:pPr>
                  <w:r>
                    <w:rPr>
                      <w:rFonts w:asciiTheme="majorHAnsi" w:hAnsiTheme="majorHAnsi" w:cstheme="majorHAnsi"/>
                      <w:sz w:val="22"/>
                      <w:szCs w:val="22"/>
                    </w:rPr>
                    <w:t xml:space="preserve">Inception Report </w:t>
                  </w:r>
                </w:p>
              </w:tc>
              <w:tc>
                <w:tcPr>
                  <w:tcW w:w="1158" w:type="pct"/>
                </w:tcPr>
                <w:p w14:paraId="6B5C78E5" w14:textId="77777777" w:rsidR="000B79E6" w:rsidRDefault="000B79E6" w:rsidP="00407AE4">
                  <w:pPr>
                    <w:jc w:val="center"/>
                    <w:rPr>
                      <w:rFonts w:asciiTheme="majorHAnsi" w:hAnsiTheme="majorHAnsi" w:cstheme="majorHAnsi"/>
                      <w:sz w:val="22"/>
                      <w:szCs w:val="22"/>
                    </w:rPr>
                  </w:pPr>
                  <w:r>
                    <w:rPr>
                      <w:rFonts w:asciiTheme="majorHAnsi" w:hAnsiTheme="majorHAnsi" w:cstheme="majorHAnsi"/>
                      <w:sz w:val="22"/>
                      <w:szCs w:val="22"/>
                    </w:rPr>
                    <w:t>4</w:t>
                  </w:r>
                </w:p>
              </w:tc>
              <w:tc>
                <w:tcPr>
                  <w:tcW w:w="1501" w:type="pct"/>
                </w:tcPr>
                <w:p w14:paraId="5596EBA4" w14:textId="77777777" w:rsidR="000B79E6" w:rsidRDefault="00407AE4" w:rsidP="009A4E38">
                  <w:pPr>
                    <w:jc w:val="center"/>
                    <w:rPr>
                      <w:rFonts w:asciiTheme="majorHAnsi" w:hAnsiTheme="majorHAnsi" w:cstheme="majorHAnsi"/>
                      <w:sz w:val="22"/>
                      <w:szCs w:val="22"/>
                    </w:rPr>
                  </w:pPr>
                  <w:r>
                    <w:rPr>
                      <w:rFonts w:asciiTheme="majorHAnsi" w:hAnsiTheme="majorHAnsi" w:cstheme="majorHAnsi"/>
                      <w:sz w:val="22"/>
                      <w:szCs w:val="22"/>
                    </w:rPr>
                    <w:t>25 %</w:t>
                  </w:r>
                </w:p>
              </w:tc>
            </w:tr>
            <w:tr w:rsidR="00407AE4" w14:paraId="37BDC1F1" w14:textId="77777777" w:rsidTr="00A318B8">
              <w:trPr>
                <w:trHeight w:val="233"/>
              </w:trPr>
              <w:tc>
                <w:tcPr>
                  <w:tcW w:w="2340" w:type="pct"/>
                </w:tcPr>
                <w:p w14:paraId="7B3FA6C3" w14:textId="77777777" w:rsidR="00407AE4" w:rsidRDefault="00407AE4" w:rsidP="00407AE4">
                  <w:pPr>
                    <w:rPr>
                      <w:rFonts w:asciiTheme="majorHAnsi" w:hAnsiTheme="majorHAnsi" w:cstheme="majorHAnsi"/>
                      <w:sz w:val="22"/>
                      <w:szCs w:val="22"/>
                    </w:rPr>
                  </w:pPr>
                  <w:r>
                    <w:rPr>
                      <w:rFonts w:asciiTheme="majorHAnsi" w:hAnsiTheme="majorHAnsi" w:cstheme="majorHAnsi"/>
                      <w:sz w:val="22"/>
                      <w:szCs w:val="22"/>
                    </w:rPr>
                    <w:t xml:space="preserve">Desk review </w:t>
                  </w:r>
                </w:p>
              </w:tc>
              <w:tc>
                <w:tcPr>
                  <w:tcW w:w="1158" w:type="pct"/>
                </w:tcPr>
                <w:p w14:paraId="53ED828C" w14:textId="77777777" w:rsidR="00407AE4" w:rsidRDefault="00407AE4" w:rsidP="00407AE4">
                  <w:pPr>
                    <w:jc w:val="center"/>
                    <w:rPr>
                      <w:rFonts w:asciiTheme="majorHAnsi" w:hAnsiTheme="majorHAnsi" w:cstheme="majorHAnsi"/>
                      <w:sz w:val="22"/>
                      <w:szCs w:val="22"/>
                    </w:rPr>
                  </w:pPr>
                  <w:r>
                    <w:rPr>
                      <w:rFonts w:asciiTheme="majorHAnsi" w:hAnsiTheme="majorHAnsi" w:cstheme="majorHAnsi"/>
                      <w:sz w:val="22"/>
                      <w:szCs w:val="22"/>
                    </w:rPr>
                    <w:t>5</w:t>
                  </w:r>
                </w:p>
              </w:tc>
              <w:tc>
                <w:tcPr>
                  <w:tcW w:w="1501" w:type="pct"/>
                  <w:vMerge w:val="restart"/>
                </w:tcPr>
                <w:p w14:paraId="59B60A80" w14:textId="77777777" w:rsidR="00407AE4" w:rsidRDefault="00407AE4" w:rsidP="009A4E38">
                  <w:pPr>
                    <w:jc w:val="center"/>
                    <w:rPr>
                      <w:rFonts w:asciiTheme="majorHAnsi" w:hAnsiTheme="majorHAnsi" w:cstheme="majorHAnsi"/>
                      <w:sz w:val="22"/>
                      <w:szCs w:val="22"/>
                    </w:rPr>
                  </w:pPr>
                  <w:r>
                    <w:rPr>
                      <w:rFonts w:asciiTheme="majorHAnsi" w:hAnsiTheme="majorHAnsi" w:cstheme="majorHAnsi"/>
                      <w:sz w:val="22"/>
                      <w:szCs w:val="22"/>
                    </w:rPr>
                    <w:t>50%</w:t>
                  </w:r>
                </w:p>
              </w:tc>
            </w:tr>
            <w:tr w:rsidR="00407AE4" w14:paraId="37FE61F6" w14:textId="77777777" w:rsidTr="00A318B8">
              <w:trPr>
                <w:trHeight w:val="383"/>
              </w:trPr>
              <w:tc>
                <w:tcPr>
                  <w:tcW w:w="2340" w:type="pct"/>
                </w:tcPr>
                <w:p w14:paraId="05C6148B" w14:textId="77777777" w:rsidR="00407AE4" w:rsidRDefault="00407AE4" w:rsidP="00407AE4">
                  <w:pPr>
                    <w:rPr>
                      <w:rFonts w:asciiTheme="majorHAnsi" w:hAnsiTheme="majorHAnsi" w:cstheme="majorHAnsi"/>
                      <w:sz w:val="22"/>
                      <w:szCs w:val="22"/>
                    </w:rPr>
                  </w:pPr>
                  <w:r>
                    <w:rPr>
                      <w:rFonts w:asciiTheme="majorHAnsi" w:hAnsiTheme="majorHAnsi" w:cstheme="majorHAnsi"/>
                      <w:sz w:val="22"/>
                      <w:szCs w:val="22"/>
                    </w:rPr>
                    <w:t xml:space="preserve">Tools </w:t>
                  </w:r>
                </w:p>
              </w:tc>
              <w:tc>
                <w:tcPr>
                  <w:tcW w:w="1158" w:type="pct"/>
                </w:tcPr>
                <w:p w14:paraId="1B0ED1BE" w14:textId="77777777" w:rsidR="00407AE4" w:rsidRDefault="00407AE4" w:rsidP="00407AE4">
                  <w:pPr>
                    <w:jc w:val="center"/>
                    <w:rPr>
                      <w:rFonts w:asciiTheme="majorHAnsi" w:hAnsiTheme="majorHAnsi" w:cstheme="majorHAnsi"/>
                      <w:sz w:val="22"/>
                      <w:szCs w:val="22"/>
                    </w:rPr>
                  </w:pPr>
                  <w:r>
                    <w:rPr>
                      <w:rFonts w:asciiTheme="majorHAnsi" w:hAnsiTheme="majorHAnsi" w:cstheme="majorHAnsi"/>
                      <w:sz w:val="22"/>
                      <w:szCs w:val="22"/>
                    </w:rPr>
                    <w:t>5</w:t>
                  </w:r>
                </w:p>
              </w:tc>
              <w:tc>
                <w:tcPr>
                  <w:tcW w:w="1501" w:type="pct"/>
                  <w:vMerge/>
                </w:tcPr>
                <w:p w14:paraId="2291372C" w14:textId="77777777" w:rsidR="00407AE4" w:rsidRDefault="00407AE4" w:rsidP="009A4E38">
                  <w:pPr>
                    <w:jc w:val="center"/>
                    <w:rPr>
                      <w:rFonts w:asciiTheme="majorHAnsi" w:hAnsiTheme="majorHAnsi" w:cstheme="majorHAnsi"/>
                      <w:sz w:val="22"/>
                      <w:szCs w:val="22"/>
                    </w:rPr>
                  </w:pPr>
                </w:p>
              </w:tc>
            </w:tr>
            <w:tr w:rsidR="00407AE4" w14:paraId="3F9A0F88" w14:textId="77777777" w:rsidTr="00A318B8">
              <w:trPr>
                <w:trHeight w:val="375"/>
              </w:trPr>
              <w:tc>
                <w:tcPr>
                  <w:tcW w:w="2340" w:type="pct"/>
                </w:tcPr>
                <w:p w14:paraId="3500DF14" w14:textId="77777777" w:rsidR="00407AE4" w:rsidRDefault="00407AE4" w:rsidP="00407AE4">
                  <w:pPr>
                    <w:rPr>
                      <w:rFonts w:asciiTheme="majorHAnsi" w:hAnsiTheme="majorHAnsi" w:cstheme="majorHAnsi"/>
                      <w:sz w:val="22"/>
                      <w:szCs w:val="22"/>
                    </w:rPr>
                  </w:pPr>
                  <w:r>
                    <w:rPr>
                      <w:rFonts w:asciiTheme="majorHAnsi" w:hAnsiTheme="majorHAnsi" w:cstheme="majorHAnsi"/>
                      <w:sz w:val="22"/>
                      <w:szCs w:val="22"/>
                    </w:rPr>
                    <w:t xml:space="preserve">Training of national consultant/s on tools </w:t>
                  </w:r>
                </w:p>
              </w:tc>
              <w:tc>
                <w:tcPr>
                  <w:tcW w:w="1158" w:type="pct"/>
                </w:tcPr>
                <w:p w14:paraId="7D7ACB64" w14:textId="77777777" w:rsidR="00407AE4" w:rsidRDefault="00407AE4" w:rsidP="00407AE4">
                  <w:pPr>
                    <w:jc w:val="center"/>
                    <w:rPr>
                      <w:rFonts w:asciiTheme="majorHAnsi" w:hAnsiTheme="majorHAnsi" w:cstheme="majorHAnsi"/>
                      <w:sz w:val="22"/>
                      <w:szCs w:val="22"/>
                    </w:rPr>
                  </w:pPr>
                  <w:r>
                    <w:rPr>
                      <w:rFonts w:asciiTheme="majorHAnsi" w:hAnsiTheme="majorHAnsi" w:cstheme="majorHAnsi"/>
                      <w:sz w:val="22"/>
                      <w:szCs w:val="22"/>
                    </w:rPr>
                    <w:t>01</w:t>
                  </w:r>
                </w:p>
              </w:tc>
              <w:tc>
                <w:tcPr>
                  <w:tcW w:w="1501" w:type="pct"/>
                  <w:vMerge/>
                </w:tcPr>
                <w:p w14:paraId="6AD9C651" w14:textId="77777777" w:rsidR="00407AE4" w:rsidRDefault="00407AE4" w:rsidP="009A4E38">
                  <w:pPr>
                    <w:jc w:val="center"/>
                    <w:rPr>
                      <w:rFonts w:asciiTheme="majorHAnsi" w:hAnsiTheme="majorHAnsi" w:cstheme="majorHAnsi"/>
                      <w:sz w:val="22"/>
                      <w:szCs w:val="22"/>
                    </w:rPr>
                  </w:pPr>
                </w:p>
              </w:tc>
            </w:tr>
            <w:tr w:rsidR="00407AE4" w14:paraId="70893C02" w14:textId="77777777" w:rsidTr="00A318B8">
              <w:trPr>
                <w:trHeight w:val="417"/>
              </w:trPr>
              <w:tc>
                <w:tcPr>
                  <w:tcW w:w="2340" w:type="pct"/>
                </w:tcPr>
                <w:p w14:paraId="1452A2DC" w14:textId="77777777" w:rsidR="00407AE4" w:rsidRDefault="00407AE4" w:rsidP="00407AE4">
                  <w:pPr>
                    <w:rPr>
                      <w:rFonts w:asciiTheme="majorHAnsi" w:hAnsiTheme="majorHAnsi" w:cstheme="majorHAnsi"/>
                      <w:sz w:val="22"/>
                      <w:szCs w:val="22"/>
                    </w:rPr>
                  </w:pPr>
                  <w:r>
                    <w:rPr>
                      <w:rFonts w:asciiTheme="majorHAnsi" w:hAnsiTheme="majorHAnsi" w:cstheme="majorHAnsi"/>
                      <w:sz w:val="22"/>
                      <w:szCs w:val="22"/>
                    </w:rPr>
                    <w:t xml:space="preserve">Data analysis and report compilation </w:t>
                  </w:r>
                </w:p>
              </w:tc>
              <w:tc>
                <w:tcPr>
                  <w:tcW w:w="1158" w:type="pct"/>
                </w:tcPr>
                <w:p w14:paraId="413E8C37" w14:textId="77777777" w:rsidR="00407AE4" w:rsidRDefault="00407AE4" w:rsidP="00407AE4">
                  <w:pPr>
                    <w:jc w:val="center"/>
                    <w:rPr>
                      <w:rFonts w:asciiTheme="majorHAnsi" w:hAnsiTheme="majorHAnsi" w:cstheme="majorHAnsi"/>
                      <w:sz w:val="22"/>
                      <w:szCs w:val="22"/>
                    </w:rPr>
                  </w:pPr>
                  <w:r>
                    <w:rPr>
                      <w:rFonts w:asciiTheme="majorHAnsi" w:hAnsiTheme="majorHAnsi" w:cstheme="majorHAnsi"/>
                      <w:sz w:val="22"/>
                      <w:szCs w:val="22"/>
                    </w:rPr>
                    <w:t>10</w:t>
                  </w:r>
                </w:p>
              </w:tc>
              <w:tc>
                <w:tcPr>
                  <w:tcW w:w="1501" w:type="pct"/>
                  <w:vMerge/>
                </w:tcPr>
                <w:p w14:paraId="1795FFF6" w14:textId="77777777" w:rsidR="00407AE4" w:rsidRDefault="00407AE4" w:rsidP="009A4E38">
                  <w:pPr>
                    <w:jc w:val="center"/>
                    <w:rPr>
                      <w:rFonts w:asciiTheme="majorHAnsi" w:hAnsiTheme="majorHAnsi" w:cstheme="majorHAnsi"/>
                      <w:sz w:val="22"/>
                      <w:szCs w:val="22"/>
                    </w:rPr>
                  </w:pPr>
                </w:p>
              </w:tc>
            </w:tr>
            <w:tr w:rsidR="00407AE4" w14:paraId="1BF5A728" w14:textId="77777777" w:rsidTr="00A318B8">
              <w:trPr>
                <w:trHeight w:val="411"/>
              </w:trPr>
              <w:tc>
                <w:tcPr>
                  <w:tcW w:w="2340" w:type="pct"/>
                </w:tcPr>
                <w:p w14:paraId="5BD0090B" w14:textId="77777777" w:rsidR="00407AE4" w:rsidRDefault="00407AE4" w:rsidP="00407AE4">
                  <w:pPr>
                    <w:rPr>
                      <w:rFonts w:asciiTheme="majorHAnsi" w:hAnsiTheme="majorHAnsi" w:cstheme="majorHAnsi"/>
                      <w:sz w:val="22"/>
                      <w:szCs w:val="22"/>
                    </w:rPr>
                  </w:pPr>
                  <w:r>
                    <w:rPr>
                      <w:rFonts w:asciiTheme="majorHAnsi" w:hAnsiTheme="majorHAnsi" w:cstheme="majorHAnsi"/>
                      <w:sz w:val="22"/>
                      <w:szCs w:val="22"/>
                    </w:rPr>
                    <w:t xml:space="preserve">Incorporation of comments in draft report </w:t>
                  </w:r>
                </w:p>
              </w:tc>
              <w:tc>
                <w:tcPr>
                  <w:tcW w:w="1158" w:type="pct"/>
                </w:tcPr>
                <w:p w14:paraId="56F7CFA0" w14:textId="77777777" w:rsidR="00407AE4" w:rsidRDefault="00407AE4" w:rsidP="00407AE4">
                  <w:pPr>
                    <w:jc w:val="center"/>
                    <w:rPr>
                      <w:rFonts w:asciiTheme="majorHAnsi" w:hAnsiTheme="majorHAnsi" w:cstheme="majorHAnsi"/>
                      <w:sz w:val="22"/>
                      <w:szCs w:val="22"/>
                    </w:rPr>
                  </w:pPr>
                  <w:r>
                    <w:rPr>
                      <w:rFonts w:asciiTheme="majorHAnsi" w:hAnsiTheme="majorHAnsi" w:cstheme="majorHAnsi"/>
                      <w:sz w:val="22"/>
                      <w:szCs w:val="22"/>
                    </w:rPr>
                    <w:t>3</w:t>
                  </w:r>
                </w:p>
              </w:tc>
              <w:tc>
                <w:tcPr>
                  <w:tcW w:w="1501" w:type="pct"/>
                  <w:vMerge w:val="restart"/>
                </w:tcPr>
                <w:p w14:paraId="7BE504CA" w14:textId="77777777" w:rsidR="00407AE4" w:rsidRDefault="00407AE4" w:rsidP="009A4E38">
                  <w:pPr>
                    <w:jc w:val="center"/>
                    <w:rPr>
                      <w:rFonts w:asciiTheme="majorHAnsi" w:hAnsiTheme="majorHAnsi" w:cstheme="majorHAnsi"/>
                      <w:sz w:val="22"/>
                      <w:szCs w:val="22"/>
                    </w:rPr>
                  </w:pPr>
                  <w:r>
                    <w:rPr>
                      <w:rFonts w:asciiTheme="majorHAnsi" w:hAnsiTheme="majorHAnsi" w:cstheme="majorHAnsi"/>
                      <w:sz w:val="22"/>
                      <w:szCs w:val="22"/>
                    </w:rPr>
                    <w:t>25 %</w:t>
                  </w:r>
                </w:p>
              </w:tc>
            </w:tr>
            <w:tr w:rsidR="00407AE4" w14:paraId="04198798" w14:textId="77777777" w:rsidTr="00A318B8">
              <w:trPr>
                <w:trHeight w:val="291"/>
              </w:trPr>
              <w:tc>
                <w:tcPr>
                  <w:tcW w:w="2340" w:type="pct"/>
                </w:tcPr>
                <w:p w14:paraId="3A1A610E" w14:textId="77777777" w:rsidR="00407AE4" w:rsidRDefault="00407AE4" w:rsidP="00407AE4">
                  <w:pPr>
                    <w:rPr>
                      <w:rFonts w:asciiTheme="majorHAnsi" w:hAnsiTheme="majorHAnsi" w:cstheme="majorHAnsi"/>
                      <w:sz w:val="22"/>
                      <w:szCs w:val="22"/>
                    </w:rPr>
                  </w:pPr>
                  <w:r>
                    <w:rPr>
                      <w:rFonts w:asciiTheme="majorHAnsi" w:hAnsiTheme="majorHAnsi" w:cstheme="majorHAnsi"/>
                      <w:sz w:val="22"/>
                      <w:szCs w:val="22"/>
                    </w:rPr>
                    <w:t xml:space="preserve">Inputs to workshop designing </w:t>
                  </w:r>
                </w:p>
              </w:tc>
              <w:tc>
                <w:tcPr>
                  <w:tcW w:w="1158" w:type="pct"/>
                </w:tcPr>
                <w:p w14:paraId="210A206B" w14:textId="77777777" w:rsidR="00407AE4" w:rsidRDefault="00407AE4" w:rsidP="00407AE4">
                  <w:pPr>
                    <w:jc w:val="center"/>
                    <w:rPr>
                      <w:rFonts w:asciiTheme="majorHAnsi" w:hAnsiTheme="majorHAnsi" w:cstheme="majorHAnsi"/>
                      <w:sz w:val="22"/>
                      <w:szCs w:val="22"/>
                    </w:rPr>
                  </w:pPr>
                  <w:r>
                    <w:rPr>
                      <w:rFonts w:asciiTheme="majorHAnsi" w:hAnsiTheme="majorHAnsi" w:cstheme="majorHAnsi"/>
                      <w:sz w:val="22"/>
                      <w:szCs w:val="22"/>
                    </w:rPr>
                    <w:t>1</w:t>
                  </w:r>
                </w:p>
              </w:tc>
              <w:tc>
                <w:tcPr>
                  <w:tcW w:w="1501" w:type="pct"/>
                  <w:vMerge/>
                </w:tcPr>
                <w:p w14:paraId="1C8A638B" w14:textId="77777777" w:rsidR="00407AE4" w:rsidRDefault="00407AE4" w:rsidP="009A4E38">
                  <w:pPr>
                    <w:jc w:val="center"/>
                    <w:rPr>
                      <w:rFonts w:asciiTheme="majorHAnsi" w:hAnsiTheme="majorHAnsi" w:cstheme="majorHAnsi"/>
                      <w:sz w:val="22"/>
                      <w:szCs w:val="22"/>
                    </w:rPr>
                  </w:pPr>
                </w:p>
              </w:tc>
            </w:tr>
            <w:tr w:rsidR="000B79E6" w14:paraId="691BE66B" w14:textId="77777777" w:rsidTr="00A318B8">
              <w:trPr>
                <w:trHeight w:val="229"/>
              </w:trPr>
              <w:tc>
                <w:tcPr>
                  <w:tcW w:w="2340" w:type="pct"/>
                </w:tcPr>
                <w:p w14:paraId="62737941" w14:textId="77777777" w:rsidR="000B79E6" w:rsidRPr="00727DC1" w:rsidRDefault="000B79E6" w:rsidP="00407AE4">
                  <w:pPr>
                    <w:rPr>
                      <w:rFonts w:asciiTheme="majorHAnsi" w:hAnsiTheme="majorHAnsi" w:cstheme="majorHAnsi"/>
                      <w:b/>
                      <w:sz w:val="22"/>
                      <w:szCs w:val="22"/>
                    </w:rPr>
                  </w:pPr>
                  <w:r w:rsidRPr="00727DC1">
                    <w:rPr>
                      <w:rFonts w:asciiTheme="majorHAnsi" w:hAnsiTheme="majorHAnsi" w:cstheme="majorHAnsi"/>
                      <w:b/>
                      <w:sz w:val="22"/>
                      <w:szCs w:val="22"/>
                    </w:rPr>
                    <w:t xml:space="preserve">Total days </w:t>
                  </w:r>
                </w:p>
              </w:tc>
              <w:tc>
                <w:tcPr>
                  <w:tcW w:w="1158" w:type="pct"/>
                </w:tcPr>
                <w:p w14:paraId="02FFA4CF" w14:textId="77777777" w:rsidR="000B79E6" w:rsidRPr="00727DC1" w:rsidRDefault="00407AE4" w:rsidP="00407AE4">
                  <w:pPr>
                    <w:jc w:val="center"/>
                    <w:rPr>
                      <w:rFonts w:asciiTheme="majorHAnsi" w:hAnsiTheme="majorHAnsi" w:cstheme="majorHAnsi"/>
                      <w:b/>
                      <w:sz w:val="22"/>
                      <w:szCs w:val="22"/>
                    </w:rPr>
                  </w:pPr>
                  <w:r>
                    <w:rPr>
                      <w:rFonts w:asciiTheme="majorHAnsi" w:hAnsiTheme="majorHAnsi" w:cstheme="majorHAnsi"/>
                      <w:b/>
                      <w:sz w:val="22"/>
                      <w:szCs w:val="22"/>
                    </w:rPr>
                    <w:t>29</w:t>
                  </w:r>
                </w:p>
              </w:tc>
              <w:tc>
                <w:tcPr>
                  <w:tcW w:w="1501" w:type="pct"/>
                </w:tcPr>
                <w:p w14:paraId="246245C9" w14:textId="77777777" w:rsidR="000B79E6" w:rsidRPr="00727DC1" w:rsidRDefault="00407AE4" w:rsidP="009A4E38">
                  <w:pPr>
                    <w:jc w:val="center"/>
                    <w:rPr>
                      <w:rFonts w:asciiTheme="majorHAnsi" w:hAnsiTheme="majorHAnsi" w:cstheme="majorHAnsi"/>
                      <w:b/>
                      <w:sz w:val="22"/>
                      <w:szCs w:val="22"/>
                    </w:rPr>
                  </w:pPr>
                  <w:r>
                    <w:rPr>
                      <w:rFonts w:asciiTheme="majorHAnsi" w:hAnsiTheme="majorHAnsi" w:cstheme="majorHAnsi"/>
                      <w:b/>
                      <w:sz w:val="22"/>
                      <w:szCs w:val="22"/>
                    </w:rPr>
                    <w:t>100%</w:t>
                  </w:r>
                </w:p>
              </w:tc>
            </w:tr>
          </w:tbl>
          <w:p w14:paraId="6E6382C4" w14:textId="77777777" w:rsidR="003A5300" w:rsidRPr="00D45AF5" w:rsidRDefault="003A5300" w:rsidP="00407AE4">
            <w:pPr>
              <w:spacing w:before="100" w:after="100"/>
              <w:jc w:val="both"/>
              <w:rPr>
                <w:rFonts w:ascii="Calibri" w:eastAsia="Calibri" w:hAnsi="Calibri" w:cs="Calibri"/>
                <w:color w:val="222222"/>
                <w:sz w:val="22"/>
                <w:szCs w:val="22"/>
              </w:rPr>
            </w:pPr>
          </w:p>
        </w:tc>
      </w:tr>
      <w:tr w:rsidR="003A5300" w:rsidRPr="00D45AF5" w14:paraId="6F5096F8" w14:textId="77777777" w:rsidTr="00A318B8">
        <w:tc>
          <w:tcPr>
            <w:tcW w:w="2434" w:type="dxa"/>
            <w:tcBorders>
              <w:top w:val="single" w:sz="6" w:space="0" w:color="000000"/>
              <w:left w:val="single" w:sz="6" w:space="0" w:color="000000"/>
              <w:bottom w:val="single" w:sz="6" w:space="0" w:color="000000"/>
            </w:tcBorders>
          </w:tcPr>
          <w:p w14:paraId="6232197F" w14:textId="77777777" w:rsidR="003A5300" w:rsidRPr="00D45AF5" w:rsidRDefault="00281C59">
            <w:pPr>
              <w:spacing w:before="100" w:after="100"/>
              <w:ind w:left="360"/>
              <w:jc w:val="both"/>
              <w:rPr>
                <w:rFonts w:ascii="Calibri" w:eastAsia="Calibri" w:hAnsi="Calibri" w:cs="Calibri"/>
                <w:color w:val="222222"/>
                <w:sz w:val="22"/>
                <w:szCs w:val="22"/>
              </w:rPr>
            </w:pPr>
            <w:r w:rsidRPr="00D45AF5">
              <w:rPr>
                <w:rFonts w:ascii="Calibri" w:eastAsia="Calibri" w:hAnsi="Calibri" w:cs="Calibri"/>
                <w:color w:val="222222"/>
                <w:sz w:val="22"/>
                <w:szCs w:val="22"/>
              </w:rPr>
              <w:t>Place where services are to be delivered:</w:t>
            </w:r>
          </w:p>
        </w:tc>
        <w:tc>
          <w:tcPr>
            <w:tcW w:w="8010" w:type="dxa"/>
            <w:tcBorders>
              <w:top w:val="single" w:sz="6" w:space="0" w:color="000000"/>
              <w:left w:val="single" w:sz="6" w:space="0" w:color="000000"/>
              <w:bottom w:val="single" w:sz="6" w:space="0" w:color="000000"/>
              <w:right w:val="single" w:sz="6" w:space="0" w:color="000000"/>
            </w:tcBorders>
          </w:tcPr>
          <w:p w14:paraId="3708FFF8" w14:textId="77777777" w:rsidR="003A5300" w:rsidRPr="00D45AF5" w:rsidRDefault="00010049" w:rsidP="00010049">
            <w:pPr>
              <w:spacing w:before="100" w:after="100"/>
              <w:ind w:left="360"/>
              <w:jc w:val="both"/>
              <w:rPr>
                <w:rFonts w:ascii="Calibri" w:eastAsia="Calibri" w:hAnsi="Calibri" w:cs="Calibri"/>
                <w:color w:val="222222"/>
                <w:sz w:val="22"/>
                <w:szCs w:val="22"/>
              </w:rPr>
            </w:pPr>
            <w:r>
              <w:rPr>
                <w:rFonts w:ascii="Calibri" w:eastAsia="Calibri" w:hAnsi="Calibri" w:cs="Calibri"/>
                <w:color w:val="222222"/>
                <w:sz w:val="22"/>
                <w:szCs w:val="22"/>
              </w:rPr>
              <w:t xml:space="preserve">Most of the assignment will be through long distance through virtual communication with one-week travel to Islamabad/Pakistan for data analysis and compilation with national consultant and UNFPA CO team. </w:t>
            </w:r>
            <w:r w:rsidR="00281C59" w:rsidRPr="00D45AF5">
              <w:rPr>
                <w:rFonts w:ascii="Calibri" w:eastAsia="Calibri" w:hAnsi="Calibri" w:cs="Calibri"/>
                <w:color w:val="222222"/>
                <w:sz w:val="22"/>
                <w:szCs w:val="22"/>
              </w:rPr>
              <w:t xml:space="preserve"> </w:t>
            </w:r>
            <w:r w:rsidR="00F35799">
              <w:rPr>
                <w:rFonts w:ascii="Calibri" w:eastAsia="Calibri" w:hAnsi="Calibri" w:cs="Calibri"/>
                <w:color w:val="222222"/>
                <w:sz w:val="22"/>
                <w:szCs w:val="22"/>
              </w:rPr>
              <w:t xml:space="preserve">UNFPA Pakistan will the cover the logistic cost of the IC for her one-week travel to Pakistan. </w:t>
            </w:r>
          </w:p>
        </w:tc>
      </w:tr>
      <w:tr w:rsidR="003A5300" w:rsidRPr="00D45AF5" w14:paraId="1C2A101E" w14:textId="77777777" w:rsidTr="00A318B8">
        <w:tc>
          <w:tcPr>
            <w:tcW w:w="2434" w:type="dxa"/>
            <w:tcBorders>
              <w:top w:val="single" w:sz="6" w:space="0" w:color="000000"/>
              <w:left w:val="single" w:sz="6" w:space="0" w:color="000000"/>
              <w:bottom w:val="single" w:sz="6" w:space="0" w:color="000000"/>
            </w:tcBorders>
          </w:tcPr>
          <w:p w14:paraId="01BCAC0C" w14:textId="77777777" w:rsidR="003A5300" w:rsidRPr="00D45AF5" w:rsidRDefault="00281C59">
            <w:pPr>
              <w:spacing w:before="100" w:after="100"/>
              <w:ind w:left="360"/>
              <w:jc w:val="both"/>
              <w:rPr>
                <w:rFonts w:ascii="Calibri" w:eastAsia="Calibri" w:hAnsi="Calibri" w:cs="Calibri"/>
                <w:color w:val="222222"/>
                <w:sz w:val="22"/>
                <w:szCs w:val="22"/>
              </w:rPr>
            </w:pPr>
            <w:r w:rsidRPr="00D45AF5">
              <w:rPr>
                <w:rFonts w:ascii="Calibri" w:eastAsia="Calibri" w:hAnsi="Calibri" w:cs="Calibri"/>
                <w:color w:val="222222"/>
                <w:sz w:val="22"/>
                <w:szCs w:val="22"/>
              </w:rPr>
              <w:t>Delivery dates and how work will be delivered (e.g. electronic, hard copy etc.):</w:t>
            </w:r>
          </w:p>
        </w:tc>
        <w:tc>
          <w:tcPr>
            <w:tcW w:w="8010" w:type="dxa"/>
            <w:tcBorders>
              <w:top w:val="single" w:sz="6" w:space="0" w:color="000000"/>
              <w:left w:val="single" w:sz="6" w:space="0" w:color="000000"/>
              <w:bottom w:val="single" w:sz="6" w:space="0" w:color="000000"/>
              <w:right w:val="single" w:sz="6" w:space="0" w:color="000000"/>
            </w:tcBorders>
          </w:tcPr>
          <w:p w14:paraId="3E20F6E4" w14:textId="77777777" w:rsidR="003A5300" w:rsidRDefault="00281C59">
            <w:pPr>
              <w:spacing w:before="100" w:after="100"/>
              <w:ind w:left="360"/>
              <w:jc w:val="both"/>
              <w:rPr>
                <w:rFonts w:ascii="Calibri" w:eastAsia="Calibri" w:hAnsi="Calibri" w:cs="Calibri"/>
                <w:color w:val="222222"/>
                <w:sz w:val="22"/>
                <w:szCs w:val="22"/>
              </w:rPr>
            </w:pPr>
            <w:r w:rsidRPr="00D45AF5">
              <w:rPr>
                <w:rFonts w:ascii="Calibri" w:eastAsia="Calibri" w:hAnsi="Calibri" w:cs="Calibri"/>
                <w:color w:val="222222"/>
                <w:sz w:val="22"/>
                <w:szCs w:val="22"/>
              </w:rPr>
              <w:t>The consultant will prepare a work plan</w:t>
            </w:r>
            <w:r w:rsidR="00010049">
              <w:rPr>
                <w:rFonts w:ascii="Calibri" w:eastAsia="Calibri" w:hAnsi="Calibri" w:cs="Calibri"/>
                <w:color w:val="222222"/>
                <w:sz w:val="22"/>
                <w:szCs w:val="22"/>
              </w:rPr>
              <w:t xml:space="preserve"> with timelines and deliverables. </w:t>
            </w:r>
          </w:p>
          <w:p w14:paraId="11AC5AF4" w14:textId="77777777" w:rsidR="00010049" w:rsidRPr="00D45AF5" w:rsidRDefault="00010049">
            <w:pPr>
              <w:spacing w:before="100" w:after="100"/>
              <w:ind w:left="360"/>
              <w:jc w:val="both"/>
              <w:rPr>
                <w:rFonts w:ascii="Calibri" w:eastAsia="Calibri" w:hAnsi="Calibri" w:cs="Calibri"/>
                <w:color w:val="222222"/>
                <w:sz w:val="22"/>
                <w:szCs w:val="22"/>
              </w:rPr>
            </w:pPr>
            <w:r>
              <w:rPr>
                <w:rFonts w:ascii="Calibri" w:eastAsia="Calibri" w:hAnsi="Calibri" w:cs="Calibri"/>
                <w:color w:val="222222"/>
                <w:sz w:val="22"/>
                <w:szCs w:val="22"/>
              </w:rPr>
              <w:t xml:space="preserve">IC will submit electronic copy of the report. </w:t>
            </w:r>
          </w:p>
        </w:tc>
      </w:tr>
      <w:tr w:rsidR="003A5300" w:rsidRPr="00D45AF5" w14:paraId="1F603C3C" w14:textId="77777777" w:rsidTr="00A318B8">
        <w:tc>
          <w:tcPr>
            <w:tcW w:w="2434" w:type="dxa"/>
            <w:tcBorders>
              <w:top w:val="single" w:sz="6" w:space="0" w:color="000000"/>
              <w:left w:val="single" w:sz="6" w:space="0" w:color="000000"/>
              <w:bottom w:val="single" w:sz="6" w:space="0" w:color="000000"/>
            </w:tcBorders>
          </w:tcPr>
          <w:p w14:paraId="14B921B2" w14:textId="77777777" w:rsidR="003A5300" w:rsidRPr="00D45AF5" w:rsidRDefault="00281C59">
            <w:pPr>
              <w:spacing w:before="100" w:after="100"/>
              <w:ind w:left="360"/>
              <w:jc w:val="both"/>
              <w:rPr>
                <w:rFonts w:ascii="Calibri" w:eastAsia="Calibri" w:hAnsi="Calibri" w:cs="Calibri"/>
                <w:color w:val="222222"/>
                <w:sz w:val="22"/>
                <w:szCs w:val="22"/>
              </w:rPr>
            </w:pPr>
            <w:r w:rsidRPr="00D45AF5">
              <w:rPr>
                <w:rFonts w:ascii="Calibri" w:eastAsia="Calibri" w:hAnsi="Calibri" w:cs="Calibri"/>
                <w:color w:val="222222"/>
                <w:sz w:val="22"/>
                <w:szCs w:val="22"/>
              </w:rPr>
              <w:t>Monitoring and progress control, including reporting requirements, periodicity format and deadline:</w:t>
            </w:r>
          </w:p>
        </w:tc>
        <w:tc>
          <w:tcPr>
            <w:tcW w:w="8010" w:type="dxa"/>
            <w:tcBorders>
              <w:top w:val="single" w:sz="6" w:space="0" w:color="000000"/>
              <w:left w:val="single" w:sz="6" w:space="0" w:color="000000"/>
              <w:bottom w:val="single" w:sz="6" w:space="0" w:color="000000"/>
              <w:right w:val="single" w:sz="6" w:space="0" w:color="000000"/>
            </w:tcBorders>
          </w:tcPr>
          <w:p w14:paraId="1D4E787E" w14:textId="77777777" w:rsidR="003A5300" w:rsidRPr="00D45AF5" w:rsidRDefault="00281C59">
            <w:pPr>
              <w:spacing w:before="100" w:after="100"/>
              <w:ind w:left="360"/>
              <w:jc w:val="both"/>
              <w:rPr>
                <w:rFonts w:ascii="Calibri" w:eastAsia="Calibri" w:hAnsi="Calibri" w:cs="Calibri"/>
                <w:color w:val="222222"/>
                <w:sz w:val="22"/>
                <w:szCs w:val="22"/>
              </w:rPr>
            </w:pPr>
            <w:r w:rsidRPr="00D45AF5">
              <w:rPr>
                <w:rFonts w:ascii="Calibri" w:eastAsia="Calibri" w:hAnsi="Calibri" w:cs="Calibri"/>
                <w:color w:val="222222"/>
                <w:sz w:val="22"/>
                <w:szCs w:val="22"/>
              </w:rPr>
              <w:t xml:space="preserve">The consultant will submit briefs and regular updates to senior management against the work plan deliverables. </w:t>
            </w:r>
          </w:p>
          <w:p w14:paraId="6671308B" w14:textId="77777777" w:rsidR="003A5300" w:rsidRPr="00D45AF5" w:rsidRDefault="00281C59" w:rsidP="00382E02">
            <w:pPr>
              <w:spacing w:before="100" w:after="100"/>
              <w:ind w:left="360"/>
              <w:jc w:val="both"/>
              <w:rPr>
                <w:rFonts w:ascii="Calibri" w:eastAsia="Calibri" w:hAnsi="Calibri" w:cs="Calibri"/>
                <w:color w:val="222222"/>
                <w:sz w:val="22"/>
                <w:szCs w:val="22"/>
              </w:rPr>
            </w:pPr>
            <w:bookmarkStart w:id="1" w:name="_30j0zll" w:colFirst="0" w:colLast="0"/>
            <w:bookmarkEnd w:id="1"/>
            <w:r w:rsidRPr="00D45AF5">
              <w:rPr>
                <w:rFonts w:ascii="Calibri" w:eastAsia="Calibri" w:hAnsi="Calibri" w:cs="Calibri"/>
                <w:color w:val="222222"/>
                <w:sz w:val="22"/>
                <w:szCs w:val="22"/>
              </w:rPr>
              <w:t xml:space="preserve">Payments will be subjected to meeting quality standards for the deliverables </w:t>
            </w:r>
          </w:p>
        </w:tc>
      </w:tr>
      <w:tr w:rsidR="003A5300" w:rsidRPr="00D45AF5" w14:paraId="3794042F" w14:textId="77777777" w:rsidTr="00A318B8">
        <w:tc>
          <w:tcPr>
            <w:tcW w:w="2434" w:type="dxa"/>
            <w:tcBorders>
              <w:top w:val="single" w:sz="6" w:space="0" w:color="000000"/>
              <w:left w:val="single" w:sz="6" w:space="0" w:color="000000"/>
              <w:bottom w:val="single" w:sz="6" w:space="0" w:color="000000"/>
            </w:tcBorders>
          </w:tcPr>
          <w:p w14:paraId="49F38750" w14:textId="77777777" w:rsidR="003A5300" w:rsidRPr="00D45AF5" w:rsidRDefault="00281C59">
            <w:pPr>
              <w:spacing w:before="100" w:after="100"/>
              <w:ind w:left="360"/>
              <w:jc w:val="both"/>
              <w:rPr>
                <w:rFonts w:ascii="Calibri" w:eastAsia="Calibri" w:hAnsi="Calibri" w:cs="Calibri"/>
                <w:color w:val="222222"/>
                <w:sz w:val="22"/>
                <w:szCs w:val="22"/>
              </w:rPr>
            </w:pPr>
            <w:r w:rsidRPr="00D45AF5">
              <w:rPr>
                <w:rFonts w:ascii="Calibri" w:eastAsia="Calibri" w:hAnsi="Calibri" w:cs="Calibri"/>
                <w:color w:val="222222"/>
                <w:sz w:val="22"/>
                <w:szCs w:val="22"/>
              </w:rPr>
              <w:t xml:space="preserve">Supervisory arrangements: </w:t>
            </w:r>
          </w:p>
        </w:tc>
        <w:tc>
          <w:tcPr>
            <w:tcW w:w="8010" w:type="dxa"/>
            <w:tcBorders>
              <w:top w:val="single" w:sz="6" w:space="0" w:color="000000"/>
              <w:left w:val="single" w:sz="6" w:space="0" w:color="000000"/>
              <w:bottom w:val="single" w:sz="6" w:space="0" w:color="000000"/>
              <w:right w:val="single" w:sz="6" w:space="0" w:color="000000"/>
            </w:tcBorders>
          </w:tcPr>
          <w:p w14:paraId="1E9AE6C6" w14:textId="77777777" w:rsidR="003A5300" w:rsidRPr="00D45AF5" w:rsidRDefault="00281C59" w:rsidP="007F075C">
            <w:pPr>
              <w:spacing w:before="100" w:after="100"/>
              <w:jc w:val="both"/>
              <w:rPr>
                <w:rFonts w:ascii="Calibri" w:eastAsia="Calibri" w:hAnsi="Calibri" w:cs="Calibri"/>
                <w:color w:val="222222"/>
                <w:sz w:val="22"/>
                <w:szCs w:val="22"/>
              </w:rPr>
            </w:pPr>
            <w:r w:rsidRPr="00D45AF5">
              <w:rPr>
                <w:rFonts w:ascii="Calibri" w:eastAsia="Calibri" w:hAnsi="Calibri" w:cs="Calibri"/>
                <w:color w:val="222222"/>
                <w:sz w:val="22"/>
                <w:szCs w:val="22"/>
              </w:rPr>
              <w:t xml:space="preserve">The Consultant will report to the International Humanitarian Coordinator.  Day to day supervision will be handled by the </w:t>
            </w:r>
            <w:r w:rsidR="00382E02">
              <w:rPr>
                <w:rFonts w:ascii="Calibri" w:eastAsia="Calibri" w:hAnsi="Calibri" w:cs="Calibri"/>
                <w:color w:val="222222"/>
                <w:sz w:val="22"/>
                <w:szCs w:val="22"/>
              </w:rPr>
              <w:t xml:space="preserve">Program </w:t>
            </w:r>
            <w:r w:rsidRPr="00D45AF5">
              <w:rPr>
                <w:rFonts w:ascii="Calibri" w:eastAsia="Calibri" w:hAnsi="Calibri" w:cs="Calibri"/>
                <w:color w:val="222222"/>
                <w:sz w:val="22"/>
                <w:szCs w:val="22"/>
              </w:rPr>
              <w:t>Analyst</w:t>
            </w:r>
            <w:r w:rsidR="00382E02">
              <w:rPr>
                <w:rFonts w:ascii="Calibri" w:eastAsia="Calibri" w:hAnsi="Calibri" w:cs="Calibri"/>
                <w:color w:val="222222"/>
                <w:sz w:val="22"/>
                <w:szCs w:val="22"/>
              </w:rPr>
              <w:t>-GBVIE</w:t>
            </w:r>
          </w:p>
        </w:tc>
      </w:tr>
      <w:tr w:rsidR="003A5300" w:rsidRPr="00D45AF5" w14:paraId="74E15C45" w14:textId="77777777" w:rsidTr="00A318B8">
        <w:tc>
          <w:tcPr>
            <w:tcW w:w="2434" w:type="dxa"/>
            <w:tcBorders>
              <w:top w:val="single" w:sz="6" w:space="0" w:color="000000"/>
              <w:left w:val="single" w:sz="6" w:space="0" w:color="000000"/>
              <w:bottom w:val="single" w:sz="6" w:space="0" w:color="000000"/>
            </w:tcBorders>
          </w:tcPr>
          <w:p w14:paraId="44715923" w14:textId="77777777" w:rsidR="003A5300" w:rsidRPr="00D45AF5" w:rsidRDefault="00281C59">
            <w:pPr>
              <w:spacing w:before="100" w:after="100"/>
              <w:ind w:left="360"/>
              <w:jc w:val="both"/>
              <w:rPr>
                <w:rFonts w:ascii="Calibri" w:eastAsia="Calibri" w:hAnsi="Calibri" w:cs="Calibri"/>
                <w:color w:val="222222"/>
                <w:sz w:val="22"/>
                <w:szCs w:val="22"/>
              </w:rPr>
            </w:pPr>
            <w:r w:rsidRPr="00D45AF5">
              <w:rPr>
                <w:rFonts w:ascii="Calibri" w:eastAsia="Calibri" w:hAnsi="Calibri" w:cs="Calibri"/>
                <w:color w:val="222222"/>
                <w:sz w:val="22"/>
                <w:szCs w:val="22"/>
              </w:rPr>
              <w:lastRenderedPageBreak/>
              <w:t>Expected travel:</w:t>
            </w:r>
          </w:p>
        </w:tc>
        <w:tc>
          <w:tcPr>
            <w:tcW w:w="8010" w:type="dxa"/>
            <w:tcBorders>
              <w:top w:val="single" w:sz="6" w:space="0" w:color="000000"/>
              <w:left w:val="single" w:sz="6" w:space="0" w:color="000000"/>
              <w:bottom w:val="single" w:sz="6" w:space="0" w:color="000000"/>
              <w:right w:val="single" w:sz="6" w:space="0" w:color="000000"/>
            </w:tcBorders>
          </w:tcPr>
          <w:p w14:paraId="4B757A4B" w14:textId="77777777" w:rsidR="003A5300" w:rsidRPr="00D45AF5" w:rsidRDefault="00281C59" w:rsidP="007F075C">
            <w:pPr>
              <w:spacing w:before="100" w:after="100"/>
              <w:jc w:val="both"/>
              <w:rPr>
                <w:rFonts w:ascii="Calibri" w:eastAsia="Calibri" w:hAnsi="Calibri" w:cs="Calibri"/>
                <w:color w:val="222222"/>
                <w:sz w:val="22"/>
                <w:szCs w:val="22"/>
              </w:rPr>
            </w:pPr>
            <w:r w:rsidRPr="00D45AF5">
              <w:rPr>
                <w:rFonts w:ascii="Calibri" w:eastAsia="Calibri" w:hAnsi="Calibri" w:cs="Calibri"/>
                <w:color w:val="222222"/>
                <w:sz w:val="22"/>
                <w:szCs w:val="22"/>
              </w:rPr>
              <w:t xml:space="preserve">Distance Assignment  </w:t>
            </w:r>
          </w:p>
        </w:tc>
      </w:tr>
      <w:tr w:rsidR="003A5300" w:rsidRPr="00D45AF5" w14:paraId="6639ABA8" w14:textId="77777777" w:rsidTr="00A318B8">
        <w:tc>
          <w:tcPr>
            <w:tcW w:w="2434" w:type="dxa"/>
            <w:tcBorders>
              <w:top w:val="single" w:sz="6" w:space="0" w:color="000000"/>
              <w:left w:val="single" w:sz="6" w:space="0" w:color="000000"/>
              <w:bottom w:val="single" w:sz="6" w:space="0" w:color="000000"/>
            </w:tcBorders>
          </w:tcPr>
          <w:p w14:paraId="049DB8C8" w14:textId="77777777" w:rsidR="003A5300" w:rsidRPr="00D45AF5" w:rsidRDefault="00281C59">
            <w:pPr>
              <w:spacing w:before="100" w:after="100"/>
              <w:ind w:left="360"/>
              <w:jc w:val="both"/>
              <w:rPr>
                <w:rFonts w:ascii="Calibri" w:eastAsia="Calibri" w:hAnsi="Calibri" w:cs="Calibri"/>
                <w:color w:val="222222"/>
                <w:sz w:val="22"/>
                <w:szCs w:val="22"/>
              </w:rPr>
            </w:pPr>
            <w:r w:rsidRPr="00D45AF5">
              <w:rPr>
                <w:rFonts w:ascii="Calibri" w:eastAsia="Calibri" w:hAnsi="Calibri" w:cs="Calibri"/>
                <w:color w:val="222222"/>
                <w:sz w:val="22"/>
                <w:szCs w:val="22"/>
              </w:rPr>
              <w:t>Required expertise, qualifications and competencies, including language requirements:</w:t>
            </w:r>
          </w:p>
        </w:tc>
        <w:tc>
          <w:tcPr>
            <w:tcW w:w="8010" w:type="dxa"/>
            <w:tcBorders>
              <w:top w:val="single" w:sz="6" w:space="0" w:color="000000"/>
              <w:left w:val="single" w:sz="6" w:space="0" w:color="000000"/>
              <w:bottom w:val="single" w:sz="6" w:space="0" w:color="000000"/>
              <w:right w:val="single" w:sz="6" w:space="0" w:color="000000"/>
            </w:tcBorders>
          </w:tcPr>
          <w:p w14:paraId="31C691EC" w14:textId="77777777" w:rsidR="003A5300" w:rsidRPr="00D45AF5" w:rsidRDefault="00281C59">
            <w:pPr>
              <w:rPr>
                <w:rFonts w:ascii="Calibri" w:eastAsia="Calibri" w:hAnsi="Calibri" w:cs="Calibri"/>
                <w:color w:val="222222"/>
                <w:sz w:val="22"/>
                <w:szCs w:val="22"/>
              </w:rPr>
            </w:pPr>
            <w:r w:rsidRPr="00D45AF5">
              <w:rPr>
                <w:rFonts w:ascii="Calibri" w:eastAsia="Calibri" w:hAnsi="Calibri" w:cs="Calibri"/>
                <w:b/>
                <w:color w:val="222222"/>
                <w:sz w:val="22"/>
                <w:szCs w:val="22"/>
              </w:rPr>
              <w:t>Education:</w:t>
            </w:r>
          </w:p>
          <w:p w14:paraId="29D8C63B" w14:textId="77777777" w:rsidR="003A5300" w:rsidRPr="00D45AF5" w:rsidRDefault="00281C59">
            <w:pPr>
              <w:rPr>
                <w:rFonts w:ascii="Calibri" w:eastAsia="Calibri" w:hAnsi="Calibri" w:cs="Calibri"/>
                <w:color w:val="222222"/>
                <w:sz w:val="22"/>
                <w:szCs w:val="22"/>
              </w:rPr>
            </w:pPr>
            <w:r w:rsidRPr="00D45AF5">
              <w:rPr>
                <w:rFonts w:ascii="Calibri" w:eastAsia="Calibri" w:hAnsi="Calibri" w:cs="Calibri"/>
                <w:color w:val="222222"/>
                <w:sz w:val="22"/>
                <w:szCs w:val="22"/>
              </w:rPr>
              <w:t xml:space="preserve">Masters in Social Sciences (Women/Gender studies, Anthropology, Sociology, and/or related Social Science fields and relevant experience in the field of Gender mainstreaming. </w:t>
            </w:r>
          </w:p>
          <w:p w14:paraId="7C398173" w14:textId="77777777" w:rsidR="003A5300" w:rsidRPr="00D45AF5" w:rsidRDefault="003A5300">
            <w:pPr>
              <w:jc w:val="both"/>
              <w:rPr>
                <w:rFonts w:ascii="Calibri" w:eastAsia="Calibri" w:hAnsi="Calibri" w:cs="Calibri"/>
                <w:color w:val="222222"/>
                <w:sz w:val="22"/>
                <w:szCs w:val="22"/>
              </w:rPr>
            </w:pPr>
          </w:p>
          <w:p w14:paraId="45280593" w14:textId="77777777" w:rsidR="003A5300" w:rsidRPr="00D45AF5" w:rsidRDefault="00281C59">
            <w:pPr>
              <w:jc w:val="both"/>
              <w:rPr>
                <w:rFonts w:ascii="Calibri" w:eastAsia="Calibri" w:hAnsi="Calibri" w:cs="Calibri"/>
                <w:color w:val="222222"/>
                <w:sz w:val="22"/>
                <w:szCs w:val="22"/>
              </w:rPr>
            </w:pPr>
            <w:r w:rsidRPr="00D45AF5">
              <w:rPr>
                <w:rFonts w:ascii="Calibri" w:eastAsia="Calibri" w:hAnsi="Calibri" w:cs="Calibri"/>
                <w:b/>
                <w:color w:val="222222"/>
                <w:sz w:val="22"/>
                <w:szCs w:val="22"/>
              </w:rPr>
              <w:t>Knowledge and Experience</w:t>
            </w:r>
          </w:p>
          <w:p w14:paraId="2B6AA85A" w14:textId="77777777" w:rsidR="003A5300" w:rsidRPr="00D45AF5" w:rsidRDefault="00281C59">
            <w:pPr>
              <w:numPr>
                <w:ilvl w:val="0"/>
                <w:numId w:val="2"/>
              </w:numPr>
              <w:contextualSpacing/>
              <w:rPr>
                <w:sz w:val="22"/>
                <w:szCs w:val="22"/>
              </w:rPr>
            </w:pPr>
            <w:r w:rsidRPr="00D45AF5">
              <w:rPr>
                <w:rFonts w:ascii="Calibri" w:eastAsia="Calibri" w:hAnsi="Calibri" w:cs="Calibri"/>
                <w:color w:val="222222"/>
                <w:sz w:val="22"/>
                <w:szCs w:val="22"/>
              </w:rPr>
              <w:t>Demonstrated minimum 7 years of program management of Gender and/or GBV related programmes</w:t>
            </w:r>
            <w:r w:rsidR="007F075C">
              <w:rPr>
                <w:rFonts w:ascii="Calibri" w:eastAsia="Calibri" w:hAnsi="Calibri" w:cs="Calibri"/>
                <w:color w:val="222222"/>
                <w:sz w:val="22"/>
                <w:szCs w:val="22"/>
              </w:rPr>
              <w:t xml:space="preserve"> at international level</w:t>
            </w:r>
            <w:r w:rsidRPr="00D45AF5">
              <w:rPr>
                <w:rFonts w:ascii="Calibri" w:eastAsia="Calibri" w:hAnsi="Calibri" w:cs="Calibri"/>
                <w:color w:val="222222"/>
                <w:sz w:val="22"/>
                <w:szCs w:val="22"/>
              </w:rPr>
              <w:t xml:space="preserve">. </w:t>
            </w:r>
          </w:p>
          <w:p w14:paraId="35C95744" w14:textId="77777777" w:rsidR="003A5300" w:rsidRPr="00D45AF5" w:rsidRDefault="00281C59">
            <w:pPr>
              <w:numPr>
                <w:ilvl w:val="0"/>
                <w:numId w:val="2"/>
              </w:numPr>
              <w:contextualSpacing/>
              <w:rPr>
                <w:sz w:val="22"/>
                <w:szCs w:val="22"/>
              </w:rPr>
            </w:pPr>
            <w:r w:rsidRPr="00D45AF5">
              <w:rPr>
                <w:rFonts w:ascii="Calibri" w:eastAsia="Calibri" w:hAnsi="Calibri" w:cs="Calibri"/>
                <w:color w:val="222222"/>
                <w:sz w:val="22"/>
                <w:szCs w:val="22"/>
              </w:rPr>
              <w:t>Familiarity with standards and guidelines for gender mainstreaming, including prevention and response mechanisms to address GBV</w:t>
            </w:r>
            <w:r w:rsidR="00593459">
              <w:rPr>
                <w:rFonts w:ascii="Calibri" w:eastAsia="Calibri" w:hAnsi="Calibri" w:cs="Calibri"/>
                <w:color w:val="222222"/>
                <w:sz w:val="22"/>
                <w:szCs w:val="22"/>
              </w:rPr>
              <w:t xml:space="preserve"> in Humanitarian settings</w:t>
            </w:r>
            <w:r w:rsidRPr="00D45AF5">
              <w:rPr>
                <w:rFonts w:ascii="Calibri" w:eastAsia="Calibri" w:hAnsi="Calibri" w:cs="Calibri"/>
                <w:color w:val="222222"/>
                <w:sz w:val="22"/>
                <w:szCs w:val="22"/>
              </w:rPr>
              <w:t>.</w:t>
            </w:r>
          </w:p>
          <w:p w14:paraId="0825ABFD" w14:textId="77777777" w:rsidR="003A5300" w:rsidRPr="00D45AF5" w:rsidRDefault="00281C59">
            <w:pPr>
              <w:numPr>
                <w:ilvl w:val="0"/>
                <w:numId w:val="2"/>
              </w:numPr>
              <w:contextualSpacing/>
              <w:rPr>
                <w:sz w:val="22"/>
                <w:szCs w:val="22"/>
              </w:rPr>
            </w:pPr>
            <w:r w:rsidRPr="00D45AF5">
              <w:rPr>
                <w:rFonts w:ascii="Calibri" w:eastAsia="Calibri" w:hAnsi="Calibri" w:cs="Calibri"/>
                <w:color w:val="222222"/>
                <w:sz w:val="22"/>
                <w:szCs w:val="22"/>
              </w:rPr>
              <w:t>Experience in training, facilitation, capacity building, etc.</w:t>
            </w:r>
          </w:p>
          <w:p w14:paraId="2843CC0C" w14:textId="77777777" w:rsidR="003A5300" w:rsidRPr="00382E02" w:rsidRDefault="00281C59">
            <w:pPr>
              <w:numPr>
                <w:ilvl w:val="0"/>
                <w:numId w:val="2"/>
              </w:numPr>
              <w:contextualSpacing/>
              <w:rPr>
                <w:sz w:val="22"/>
                <w:szCs w:val="22"/>
              </w:rPr>
            </w:pPr>
            <w:r w:rsidRPr="00D45AF5">
              <w:rPr>
                <w:rFonts w:ascii="Calibri" w:eastAsia="Calibri" w:hAnsi="Calibri" w:cs="Calibri"/>
                <w:color w:val="222222"/>
                <w:sz w:val="22"/>
                <w:szCs w:val="22"/>
              </w:rPr>
              <w:t>Experience with development of knowledge management, guidelines or policy documents.</w:t>
            </w:r>
          </w:p>
          <w:p w14:paraId="4BF7B89B" w14:textId="77777777" w:rsidR="00382E02" w:rsidRPr="00D45AF5" w:rsidRDefault="00382E02">
            <w:pPr>
              <w:numPr>
                <w:ilvl w:val="0"/>
                <w:numId w:val="2"/>
              </w:numPr>
              <w:contextualSpacing/>
              <w:rPr>
                <w:sz w:val="22"/>
                <w:szCs w:val="22"/>
              </w:rPr>
            </w:pPr>
            <w:r>
              <w:rPr>
                <w:rFonts w:ascii="Calibri" w:eastAsia="Calibri" w:hAnsi="Calibri" w:cs="Calibri"/>
                <w:color w:val="222222"/>
                <w:sz w:val="22"/>
                <w:szCs w:val="22"/>
              </w:rPr>
              <w:t xml:space="preserve">Experience in data/information analysis. </w:t>
            </w:r>
          </w:p>
          <w:p w14:paraId="797200C0" w14:textId="77777777" w:rsidR="003A5300" w:rsidRPr="00D45AF5" w:rsidRDefault="00281C59">
            <w:pPr>
              <w:numPr>
                <w:ilvl w:val="0"/>
                <w:numId w:val="2"/>
              </w:numPr>
              <w:contextualSpacing/>
              <w:rPr>
                <w:sz w:val="22"/>
                <w:szCs w:val="22"/>
              </w:rPr>
            </w:pPr>
            <w:r w:rsidRPr="00D45AF5">
              <w:rPr>
                <w:rFonts w:ascii="Calibri" w:eastAsia="Calibri" w:hAnsi="Calibri" w:cs="Calibri"/>
                <w:color w:val="222222"/>
                <w:sz w:val="22"/>
                <w:szCs w:val="22"/>
              </w:rPr>
              <w:t>Familiarity with international humanitarian or development programming, coordination structures, and the mandates of donors, UN agencies, and other NGOs.</w:t>
            </w:r>
          </w:p>
          <w:p w14:paraId="2593BBEA" w14:textId="77777777" w:rsidR="003A5300" w:rsidRPr="00D45AF5" w:rsidRDefault="00281C59">
            <w:pPr>
              <w:numPr>
                <w:ilvl w:val="0"/>
                <w:numId w:val="2"/>
              </w:numPr>
              <w:contextualSpacing/>
              <w:rPr>
                <w:sz w:val="22"/>
                <w:szCs w:val="22"/>
              </w:rPr>
            </w:pPr>
            <w:r w:rsidRPr="00D45AF5">
              <w:rPr>
                <w:rFonts w:ascii="Calibri" w:eastAsia="Calibri" w:hAnsi="Calibri" w:cs="Calibri"/>
                <w:color w:val="222222"/>
                <w:sz w:val="22"/>
                <w:szCs w:val="22"/>
              </w:rPr>
              <w:t xml:space="preserve">Familiarity/knowledge about working with government will be added </w:t>
            </w:r>
            <w:r w:rsidR="00382E02">
              <w:rPr>
                <w:rFonts w:ascii="Calibri" w:eastAsia="Calibri" w:hAnsi="Calibri" w:cs="Calibri"/>
                <w:color w:val="222222"/>
                <w:sz w:val="22"/>
                <w:szCs w:val="22"/>
              </w:rPr>
              <w:t>advantage</w:t>
            </w:r>
            <w:r w:rsidRPr="00D45AF5">
              <w:rPr>
                <w:rFonts w:ascii="Calibri" w:eastAsia="Calibri" w:hAnsi="Calibri" w:cs="Calibri"/>
                <w:color w:val="222222"/>
                <w:sz w:val="22"/>
                <w:szCs w:val="22"/>
              </w:rPr>
              <w:t>.</w:t>
            </w:r>
          </w:p>
          <w:p w14:paraId="2F9CC4B8" w14:textId="77777777" w:rsidR="003A5300" w:rsidRPr="00D45AF5" w:rsidRDefault="00281C59">
            <w:pPr>
              <w:numPr>
                <w:ilvl w:val="0"/>
                <w:numId w:val="2"/>
              </w:numPr>
              <w:contextualSpacing/>
              <w:rPr>
                <w:color w:val="222222"/>
                <w:sz w:val="22"/>
                <w:szCs w:val="22"/>
              </w:rPr>
            </w:pPr>
            <w:r w:rsidRPr="00D45AF5">
              <w:rPr>
                <w:rFonts w:ascii="Calibri" w:eastAsia="Calibri" w:hAnsi="Calibri" w:cs="Calibri"/>
                <w:color w:val="222222"/>
                <w:sz w:val="22"/>
                <w:szCs w:val="22"/>
              </w:rPr>
              <w:t xml:space="preserve">Willingness to engage in </w:t>
            </w:r>
            <w:r w:rsidR="007F075C">
              <w:rPr>
                <w:rFonts w:ascii="Calibri" w:eastAsia="Calibri" w:hAnsi="Calibri" w:cs="Calibri"/>
                <w:color w:val="222222"/>
                <w:sz w:val="22"/>
                <w:szCs w:val="22"/>
              </w:rPr>
              <w:t>t</w:t>
            </w:r>
            <w:r w:rsidRPr="00D45AF5">
              <w:rPr>
                <w:rFonts w:ascii="Calibri" w:eastAsia="Calibri" w:hAnsi="Calibri" w:cs="Calibri"/>
                <w:color w:val="222222"/>
                <w:sz w:val="22"/>
                <w:szCs w:val="22"/>
              </w:rPr>
              <w:t>ravel</w:t>
            </w:r>
            <w:r w:rsidR="007F075C">
              <w:rPr>
                <w:rFonts w:ascii="Calibri" w:eastAsia="Calibri" w:hAnsi="Calibri" w:cs="Calibri"/>
                <w:color w:val="222222"/>
                <w:sz w:val="22"/>
                <w:szCs w:val="22"/>
              </w:rPr>
              <w:t>ing to</w:t>
            </w:r>
            <w:r w:rsidRPr="00D45AF5">
              <w:rPr>
                <w:rFonts w:ascii="Calibri" w:eastAsia="Calibri" w:hAnsi="Calibri" w:cs="Calibri"/>
                <w:color w:val="222222"/>
                <w:sz w:val="22"/>
                <w:szCs w:val="22"/>
              </w:rPr>
              <w:t xml:space="preserve"> Pakistan </w:t>
            </w:r>
          </w:p>
          <w:p w14:paraId="2C338FFA" w14:textId="77777777" w:rsidR="003A5300" w:rsidRPr="00D45AF5" w:rsidRDefault="00281C59">
            <w:pPr>
              <w:numPr>
                <w:ilvl w:val="0"/>
                <w:numId w:val="2"/>
              </w:numPr>
              <w:contextualSpacing/>
              <w:rPr>
                <w:color w:val="222222"/>
                <w:sz w:val="22"/>
                <w:szCs w:val="22"/>
              </w:rPr>
            </w:pPr>
            <w:r w:rsidRPr="00D45AF5">
              <w:rPr>
                <w:rFonts w:ascii="Calibri" w:eastAsia="Calibri" w:hAnsi="Calibri" w:cs="Calibri"/>
                <w:color w:val="222222"/>
                <w:sz w:val="22"/>
                <w:szCs w:val="22"/>
              </w:rPr>
              <w:t>Excellent English oral and written skills.</w:t>
            </w:r>
          </w:p>
          <w:p w14:paraId="51272816" w14:textId="77777777" w:rsidR="003A5300" w:rsidRPr="00D45AF5" w:rsidRDefault="00281C59">
            <w:pPr>
              <w:numPr>
                <w:ilvl w:val="0"/>
                <w:numId w:val="2"/>
              </w:numPr>
              <w:contextualSpacing/>
              <w:rPr>
                <w:color w:val="222222"/>
                <w:sz w:val="22"/>
                <w:szCs w:val="22"/>
              </w:rPr>
            </w:pPr>
            <w:r w:rsidRPr="00D45AF5">
              <w:rPr>
                <w:rFonts w:ascii="Calibri" w:eastAsia="Calibri" w:hAnsi="Calibri" w:cs="Calibri"/>
                <w:color w:val="222222"/>
                <w:sz w:val="22"/>
                <w:szCs w:val="22"/>
              </w:rPr>
              <w:t>Be able to listen actively and respond effectively</w:t>
            </w:r>
          </w:p>
        </w:tc>
      </w:tr>
      <w:tr w:rsidR="003A5300" w:rsidRPr="00D45AF5" w14:paraId="274386E5" w14:textId="77777777" w:rsidTr="00A318B8">
        <w:tc>
          <w:tcPr>
            <w:tcW w:w="2434" w:type="dxa"/>
            <w:tcBorders>
              <w:top w:val="single" w:sz="6" w:space="0" w:color="000000"/>
              <w:left w:val="single" w:sz="6" w:space="0" w:color="000000"/>
              <w:bottom w:val="single" w:sz="6" w:space="0" w:color="000000"/>
            </w:tcBorders>
          </w:tcPr>
          <w:p w14:paraId="4D7B39CD" w14:textId="77777777" w:rsidR="003A5300" w:rsidRPr="00D45AF5" w:rsidRDefault="00281C59">
            <w:pPr>
              <w:spacing w:before="100" w:after="100"/>
              <w:ind w:left="360"/>
              <w:jc w:val="both"/>
              <w:rPr>
                <w:rFonts w:ascii="Calibri" w:eastAsia="Calibri" w:hAnsi="Calibri" w:cs="Calibri"/>
                <w:color w:val="222222"/>
                <w:sz w:val="22"/>
                <w:szCs w:val="22"/>
              </w:rPr>
            </w:pPr>
            <w:r w:rsidRPr="00D45AF5">
              <w:rPr>
                <w:rFonts w:ascii="Calibri" w:eastAsia="Calibri" w:hAnsi="Calibri" w:cs="Calibri"/>
                <w:color w:val="222222"/>
                <w:sz w:val="22"/>
                <w:szCs w:val="22"/>
              </w:rPr>
              <w:t>Inputs / services to be provided by UNFPA or implementing partner (e.g support services, office space, equipment), if applicable:</w:t>
            </w:r>
          </w:p>
        </w:tc>
        <w:tc>
          <w:tcPr>
            <w:tcW w:w="8010" w:type="dxa"/>
            <w:tcBorders>
              <w:top w:val="single" w:sz="6" w:space="0" w:color="000000"/>
              <w:left w:val="single" w:sz="6" w:space="0" w:color="000000"/>
              <w:bottom w:val="single" w:sz="6" w:space="0" w:color="000000"/>
              <w:right w:val="single" w:sz="6" w:space="0" w:color="000000"/>
            </w:tcBorders>
          </w:tcPr>
          <w:p w14:paraId="0B654B49" w14:textId="77777777" w:rsidR="003A5300" w:rsidRDefault="00281C59">
            <w:pPr>
              <w:spacing w:after="100"/>
              <w:jc w:val="both"/>
              <w:rPr>
                <w:rFonts w:ascii="Calibri" w:eastAsia="Calibri" w:hAnsi="Calibri" w:cs="Calibri"/>
                <w:color w:val="222222"/>
                <w:sz w:val="22"/>
                <w:szCs w:val="22"/>
              </w:rPr>
            </w:pPr>
            <w:r w:rsidRPr="00D45AF5">
              <w:rPr>
                <w:rFonts w:ascii="Calibri" w:eastAsia="Calibri" w:hAnsi="Calibri" w:cs="Calibri"/>
                <w:color w:val="222222"/>
                <w:sz w:val="22"/>
                <w:szCs w:val="22"/>
              </w:rPr>
              <w:t xml:space="preserve">Distance Assignment </w:t>
            </w:r>
          </w:p>
          <w:p w14:paraId="4805F2E1" w14:textId="77777777" w:rsidR="007F075C" w:rsidRPr="00D45AF5" w:rsidRDefault="007F075C">
            <w:pPr>
              <w:spacing w:after="100"/>
              <w:jc w:val="both"/>
              <w:rPr>
                <w:rFonts w:ascii="Calibri" w:eastAsia="Calibri" w:hAnsi="Calibri" w:cs="Calibri"/>
                <w:color w:val="222222"/>
                <w:sz w:val="22"/>
                <w:szCs w:val="22"/>
              </w:rPr>
            </w:pPr>
            <w:r>
              <w:rPr>
                <w:rFonts w:ascii="Calibri" w:eastAsia="Calibri" w:hAnsi="Calibri" w:cs="Calibri"/>
                <w:color w:val="222222"/>
                <w:sz w:val="22"/>
                <w:szCs w:val="22"/>
              </w:rPr>
              <w:t>One week travel to Islamabad-Pakistan</w:t>
            </w:r>
          </w:p>
        </w:tc>
      </w:tr>
      <w:tr w:rsidR="003A5300" w:rsidRPr="00D45AF5" w14:paraId="5A83C73E" w14:textId="77777777" w:rsidTr="00A318B8">
        <w:tc>
          <w:tcPr>
            <w:tcW w:w="2434" w:type="dxa"/>
            <w:tcBorders>
              <w:top w:val="single" w:sz="6" w:space="0" w:color="000000"/>
              <w:left w:val="single" w:sz="6" w:space="0" w:color="000000"/>
              <w:bottom w:val="single" w:sz="6" w:space="0" w:color="000000"/>
            </w:tcBorders>
          </w:tcPr>
          <w:p w14:paraId="649ABAE8" w14:textId="77777777" w:rsidR="003A5300" w:rsidRPr="00D45AF5" w:rsidRDefault="00281C59">
            <w:pPr>
              <w:spacing w:before="100" w:after="100"/>
              <w:ind w:left="360"/>
              <w:jc w:val="both"/>
              <w:rPr>
                <w:rFonts w:ascii="Calibri" w:eastAsia="Calibri" w:hAnsi="Calibri" w:cs="Calibri"/>
                <w:color w:val="222222"/>
                <w:sz w:val="22"/>
                <w:szCs w:val="22"/>
              </w:rPr>
            </w:pPr>
            <w:r w:rsidRPr="00D45AF5">
              <w:rPr>
                <w:rFonts w:ascii="Calibri" w:eastAsia="Calibri" w:hAnsi="Calibri" w:cs="Calibri"/>
                <w:color w:val="222222"/>
                <w:sz w:val="22"/>
                <w:szCs w:val="22"/>
              </w:rPr>
              <w:t>Other relevant information or special conditions, if any:</w:t>
            </w:r>
          </w:p>
        </w:tc>
        <w:tc>
          <w:tcPr>
            <w:tcW w:w="8010" w:type="dxa"/>
            <w:tcBorders>
              <w:top w:val="single" w:sz="6" w:space="0" w:color="000000"/>
              <w:left w:val="single" w:sz="6" w:space="0" w:color="000000"/>
              <w:bottom w:val="single" w:sz="6" w:space="0" w:color="000000"/>
              <w:right w:val="single" w:sz="6" w:space="0" w:color="000000"/>
            </w:tcBorders>
          </w:tcPr>
          <w:p w14:paraId="1F014D92" w14:textId="77777777" w:rsidR="003A5300" w:rsidRDefault="00281C59">
            <w:pPr>
              <w:spacing w:before="100" w:after="280"/>
              <w:jc w:val="both"/>
              <w:rPr>
                <w:rFonts w:ascii="Calibri" w:eastAsia="Calibri" w:hAnsi="Calibri" w:cs="Calibri"/>
                <w:sz w:val="22"/>
                <w:szCs w:val="22"/>
              </w:rPr>
            </w:pPr>
            <w:r w:rsidRPr="00D45AF5">
              <w:rPr>
                <w:rFonts w:ascii="Calibri" w:eastAsia="Calibri" w:hAnsi="Calibri" w:cs="Calibri"/>
                <w:color w:val="222222"/>
                <w:sz w:val="22"/>
                <w:szCs w:val="22"/>
              </w:rPr>
              <w:t xml:space="preserve">The consultant shall work closely with the International Humanitarian Coordinator and will guide National Consultant on regular basis. </w:t>
            </w:r>
            <w:r w:rsidRPr="00D45AF5">
              <w:rPr>
                <w:rFonts w:ascii="Calibri" w:eastAsia="Calibri" w:hAnsi="Calibri" w:cs="Calibri"/>
                <w:sz w:val="22"/>
                <w:szCs w:val="22"/>
              </w:rPr>
              <w:t xml:space="preserve"> </w:t>
            </w:r>
          </w:p>
          <w:p w14:paraId="1009941D" w14:textId="77777777" w:rsidR="007F075C" w:rsidRPr="00D45AF5" w:rsidRDefault="007F075C">
            <w:pPr>
              <w:spacing w:before="100" w:after="280"/>
              <w:jc w:val="both"/>
              <w:rPr>
                <w:rFonts w:ascii="Calibri" w:eastAsia="Calibri" w:hAnsi="Calibri" w:cs="Calibri"/>
                <w:color w:val="222222"/>
                <w:sz w:val="22"/>
                <w:szCs w:val="22"/>
              </w:rPr>
            </w:pPr>
            <w:r>
              <w:rPr>
                <w:rFonts w:ascii="Calibri" w:eastAsia="Calibri" w:hAnsi="Calibri" w:cs="Calibri"/>
                <w:color w:val="222222"/>
                <w:sz w:val="22"/>
                <w:szCs w:val="22"/>
              </w:rPr>
              <w:t>Consultant travel cost will be covered by UNFPA on the approved travel plan</w:t>
            </w:r>
          </w:p>
        </w:tc>
      </w:tr>
      <w:tr w:rsidR="003A5300" w:rsidRPr="00D45AF5" w14:paraId="29DAFBF0" w14:textId="77777777" w:rsidTr="00A318B8">
        <w:trPr>
          <w:trHeight w:val="1120"/>
        </w:trPr>
        <w:tc>
          <w:tcPr>
            <w:tcW w:w="10444" w:type="dxa"/>
            <w:gridSpan w:val="2"/>
            <w:tcBorders>
              <w:top w:val="single" w:sz="4" w:space="0" w:color="000000"/>
              <w:left w:val="single" w:sz="6" w:space="0" w:color="000000"/>
              <w:bottom w:val="single" w:sz="6" w:space="0" w:color="000000"/>
              <w:right w:val="single" w:sz="6" w:space="0" w:color="000000"/>
            </w:tcBorders>
          </w:tcPr>
          <w:p w14:paraId="0C7F83E5" w14:textId="77777777" w:rsidR="003A5300" w:rsidRPr="00D45AF5" w:rsidRDefault="00281C59">
            <w:pPr>
              <w:spacing w:before="100" w:after="280"/>
              <w:ind w:left="360"/>
              <w:jc w:val="both"/>
              <w:rPr>
                <w:rFonts w:ascii="Calibri" w:eastAsia="Calibri" w:hAnsi="Calibri" w:cs="Calibri"/>
                <w:color w:val="222222"/>
                <w:sz w:val="22"/>
                <w:szCs w:val="22"/>
              </w:rPr>
            </w:pPr>
            <w:r w:rsidRPr="00D45AF5">
              <w:rPr>
                <w:rFonts w:ascii="Calibri" w:eastAsia="Calibri" w:hAnsi="Calibri" w:cs="Calibri"/>
                <w:color w:val="222222"/>
                <w:sz w:val="22"/>
                <w:szCs w:val="22"/>
              </w:rPr>
              <w:t>Signature of Requesting Officer in Hiring Office: Ms. Ana Maria Leal, International Humanitarian Coordinator UNFPA Pakistan.</w:t>
            </w:r>
          </w:p>
          <w:p w14:paraId="12F3B106" w14:textId="77777777" w:rsidR="003A5300" w:rsidRPr="00D45AF5" w:rsidRDefault="00281C59" w:rsidP="007F075C">
            <w:pPr>
              <w:spacing w:after="100"/>
              <w:ind w:left="360"/>
              <w:jc w:val="both"/>
              <w:rPr>
                <w:rFonts w:ascii="Calibri" w:eastAsia="Calibri" w:hAnsi="Calibri" w:cs="Calibri"/>
                <w:color w:val="222222"/>
                <w:sz w:val="22"/>
                <w:szCs w:val="22"/>
              </w:rPr>
            </w:pPr>
            <w:r w:rsidRPr="00D45AF5">
              <w:rPr>
                <w:rFonts w:ascii="Calibri" w:eastAsia="Calibri" w:hAnsi="Calibri" w:cs="Calibri"/>
                <w:color w:val="222222"/>
                <w:sz w:val="22"/>
                <w:szCs w:val="22"/>
              </w:rPr>
              <w:t xml:space="preserve">Date:    </w:t>
            </w:r>
            <w:r w:rsidR="005F470E">
              <w:rPr>
                <w:rFonts w:ascii="Calibri" w:eastAsia="Calibri" w:hAnsi="Calibri" w:cs="Calibri"/>
                <w:color w:val="222222"/>
                <w:sz w:val="22"/>
                <w:szCs w:val="22"/>
              </w:rPr>
              <w:t xml:space="preserve">18 </w:t>
            </w:r>
            <w:r w:rsidR="002C7025">
              <w:rPr>
                <w:rFonts w:ascii="Calibri" w:eastAsia="Calibri" w:hAnsi="Calibri" w:cs="Calibri"/>
                <w:color w:val="222222"/>
                <w:sz w:val="22"/>
                <w:szCs w:val="22"/>
              </w:rPr>
              <w:t xml:space="preserve">July </w:t>
            </w:r>
            <w:r w:rsidR="00382E02">
              <w:rPr>
                <w:rFonts w:ascii="Calibri" w:eastAsia="Calibri" w:hAnsi="Calibri" w:cs="Calibri"/>
                <w:color w:val="222222"/>
                <w:sz w:val="22"/>
                <w:szCs w:val="22"/>
              </w:rPr>
              <w:t xml:space="preserve">2019 </w:t>
            </w:r>
          </w:p>
        </w:tc>
      </w:tr>
    </w:tbl>
    <w:p w14:paraId="50FFE7F9" w14:textId="77777777" w:rsidR="00A318B8" w:rsidRDefault="00A318B8" w:rsidP="00A318B8">
      <w:pPr>
        <w:rPr>
          <w:rFonts w:ascii="Calibri" w:hAnsi="Calibri" w:cs="Arial"/>
          <w:sz w:val="22"/>
          <w:szCs w:val="22"/>
        </w:rPr>
      </w:pPr>
      <w:r w:rsidRPr="00E87A4F">
        <w:rPr>
          <w:b/>
        </w:rPr>
        <w:t>HOW TO APPLY:</w:t>
      </w:r>
    </w:p>
    <w:p w14:paraId="047327BB" w14:textId="168220CA" w:rsidR="00A318B8" w:rsidRPr="005C5FE0" w:rsidRDefault="00A318B8" w:rsidP="00A318B8">
      <w:pPr>
        <w:jc w:val="both"/>
        <w:rPr>
          <w:b/>
        </w:rPr>
      </w:pPr>
      <w:r>
        <w:t xml:space="preserve">Applicants with the required qualifications and experience should submit a written cover letter of application, a copy of curriculum vitae (CV), relevant education certificates and the names and contact information of three references to the following email address </w:t>
      </w:r>
      <w:hyperlink r:id="rId7" w:history="1">
        <w:r w:rsidRPr="00994C3B">
          <w:rPr>
            <w:rStyle w:val="Hyperlink"/>
          </w:rPr>
          <w:t>nsyed@unfpa.org</w:t>
        </w:r>
      </w:hyperlink>
      <w:r>
        <w:t xml:space="preserve"> and clearly mentioning the consultancy title as the subject of the email </w:t>
      </w:r>
      <w:r w:rsidRPr="005C5FE0">
        <w:rPr>
          <w:b/>
        </w:rPr>
        <w:t xml:space="preserve">BY CLOSING DATE OF </w:t>
      </w:r>
      <w:r w:rsidR="0046407E">
        <w:rPr>
          <w:b/>
        </w:rPr>
        <w:t>0</w:t>
      </w:r>
      <w:r w:rsidR="00EE08E6">
        <w:rPr>
          <w:b/>
        </w:rPr>
        <w:t>2</w:t>
      </w:r>
      <w:bookmarkStart w:id="2" w:name="_GoBack"/>
      <w:bookmarkEnd w:id="2"/>
      <w:r w:rsidR="0046407E">
        <w:rPr>
          <w:b/>
        </w:rPr>
        <w:t xml:space="preserve"> August</w:t>
      </w:r>
      <w:r>
        <w:rPr>
          <w:b/>
        </w:rPr>
        <w:t xml:space="preserve"> 2019.</w:t>
      </w:r>
    </w:p>
    <w:p w14:paraId="50C7F677" w14:textId="77777777" w:rsidR="00A318B8" w:rsidRDefault="00A318B8" w:rsidP="00A318B8">
      <w:pPr>
        <w:jc w:val="both"/>
      </w:pPr>
      <w:r>
        <w:t xml:space="preserve">Note: THIS is OPEN to International only. Furthermore, only those candidates who meet all qualifications and experience will be contacted for further consideration. </w:t>
      </w:r>
    </w:p>
    <w:p w14:paraId="224722A7" w14:textId="77777777" w:rsidR="00A318B8" w:rsidRPr="001634F0" w:rsidRDefault="00A318B8" w:rsidP="00A318B8">
      <w:pPr>
        <w:rPr>
          <w:rFonts w:ascii="Arial" w:hAnsi="Arial" w:cs="Arial"/>
          <w:sz w:val="16"/>
          <w:szCs w:val="16"/>
        </w:rPr>
      </w:pPr>
    </w:p>
    <w:p w14:paraId="1E0917F8" w14:textId="77777777" w:rsidR="003A5300" w:rsidRPr="00D45AF5" w:rsidRDefault="003A5300">
      <w:pPr>
        <w:spacing w:before="100" w:after="100"/>
        <w:ind w:left="360"/>
        <w:jc w:val="both"/>
        <w:rPr>
          <w:rFonts w:ascii="Arial" w:eastAsia="Arial" w:hAnsi="Arial" w:cs="Arial"/>
          <w:color w:val="222222"/>
          <w:sz w:val="22"/>
          <w:szCs w:val="22"/>
        </w:rPr>
      </w:pPr>
    </w:p>
    <w:sectPr w:rsidR="003A5300" w:rsidRPr="00D45AF5">
      <w:headerReference w:type="default" r:id="rId8"/>
      <w:footerReference w:type="default" r:id="rId9"/>
      <w:pgSz w:w="11906" w:h="16838"/>
      <w:pgMar w:top="54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DB2D0" w14:textId="77777777" w:rsidR="006351DF" w:rsidRDefault="006351DF" w:rsidP="00FF7F33">
      <w:r>
        <w:separator/>
      </w:r>
    </w:p>
  </w:endnote>
  <w:endnote w:type="continuationSeparator" w:id="0">
    <w:p w14:paraId="3AE07099" w14:textId="77777777" w:rsidR="006351DF" w:rsidRDefault="006351DF" w:rsidP="00FF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96DB" w14:textId="77777777" w:rsidR="00FF7F33" w:rsidRDefault="00C43B20" w:rsidP="00FF7F33">
    <w:pPr>
      <w:pStyle w:val="Footer"/>
      <w:rPr>
        <w:sz w:val="20"/>
        <w:szCs w:val="20"/>
      </w:rPr>
    </w:pPr>
    <w:r>
      <w:rPr>
        <w:sz w:val="20"/>
        <w:szCs w:val="20"/>
      </w:rPr>
      <w:t xml:space="preserve">July </w:t>
    </w:r>
    <w:r w:rsidR="00620013">
      <w:rPr>
        <w:sz w:val="20"/>
        <w:szCs w:val="20"/>
      </w:rPr>
      <w:t>2019</w:t>
    </w:r>
    <w:r w:rsidR="00FF7F33">
      <w:rPr>
        <w:sz w:val="20"/>
        <w:szCs w:val="20"/>
      </w:rPr>
      <w:t xml:space="preserve"> Final for advertisement</w:t>
    </w:r>
  </w:p>
  <w:p w14:paraId="2F623DB4" w14:textId="77777777" w:rsidR="00FF7F33" w:rsidRDefault="00FF7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F7467" w14:textId="77777777" w:rsidR="006351DF" w:rsidRDefault="006351DF" w:rsidP="00FF7F33">
      <w:r>
        <w:separator/>
      </w:r>
    </w:p>
  </w:footnote>
  <w:footnote w:type="continuationSeparator" w:id="0">
    <w:p w14:paraId="6C5EDEA0" w14:textId="77777777" w:rsidR="006351DF" w:rsidRDefault="006351DF" w:rsidP="00FF7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CCFB" w14:textId="77777777" w:rsidR="00FF7F33" w:rsidRDefault="00FF7F33">
    <w:pPr>
      <w:pStyle w:val="Header"/>
    </w:pPr>
  </w:p>
  <w:p w14:paraId="541D8263" w14:textId="77777777" w:rsidR="00FF7F33" w:rsidRDefault="00FF7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A23"/>
    <w:multiLevelType w:val="hybridMultilevel"/>
    <w:tmpl w:val="FF342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96C38"/>
    <w:multiLevelType w:val="multilevel"/>
    <w:tmpl w:val="C3F637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9E4899"/>
    <w:multiLevelType w:val="multilevel"/>
    <w:tmpl w:val="D884E7F8"/>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6943B7B"/>
    <w:multiLevelType w:val="hybridMultilevel"/>
    <w:tmpl w:val="32D09B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DF484C"/>
    <w:multiLevelType w:val="hybridMultilevel"/>
    <w:tmpl w:val="59CE8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12E86"/>
    <w:multiLevelType w:val="hybridMultilevel"/>
    <w:tmpl w:val="349CB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C61E5"/>
    <w:multiLevelType w:val="multilevel"/>
    <w:tmpl w:val="D7A45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C02FA0"/>
    <w:multiLevelType w:val="hybridMultilevel"/>
    <w:tmpl w:val="75860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975D86"/>
    <w:multiLevelType w:val="hybridMultilevel"/>
    <w:tmpl w:val="4A66A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1215C"/>
    <w:multiLevelType w:val="hybridMultilevel"/>
    <w:tmpl w:val="E7A2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A2B6A"/>
    <w:multiLevelType w:val="hybridMultilevel"/>
    <w:tmpl w:val="5588C82E"/>
    <w:lvl w:ilvl="0" w:tplc="22C08FBA">
      <w:start w:val="1"/>
      <w:numFmt w:val="bullet"/>
      <w:lvlText w:val=" "/>
      <w:lvlJc w:val="left"/>
      <w:pPr>
        <w:tabs>
          <w:tab w:val="num" w:pos="720"/>
        </w:tabs>
        <w:ind w:left="720" w:hanging="360"/>
      </w:pPr>
      <w:rPr>
        <w:rFonts w:ascii="Calibri" w:hAnsi="Calibri" w:hint="default"/>
      </w:rPr>
    </w:lvl>
    <w:lvl w:ilvl="1" w:tplc="3F66ABAE" w:tentative="1">
      <w:start w:val="1"/>
      <w:numFmt w:val="bullet"/>
      <w:lvlText w:val=" "/>
      <w:lvlJc w:val="left"/>
      <w:pPr>
        <w:tabs>
          <w:tab w:val="num" w:pos="1440"/>
        </w:tabs>
        <w:ind w:left="1440" w:hanging="360"/>
      </w:pPr>
      <w:rPr>
        <w:rFonts w:ascii="Calibri" w:hAnsi="Calibri" w:hint="default"/>
      </w:rPr>
    </w:lvl>
    <w:lvl w:ilvl="2" w:tplc="A0D24170" w:tentative="1">
      <w:start w:val="1"/>
      <w:numFmt w:val="bullet"/>
      <w:lvlText w:val=" "/>
      <w:lvlJc w:val="left"/>
      <w:pPr>
        <w:tabs>
          <w:tab w:val="num" w:pos="2160"/>
        </w:tabs>
        <w:ind w:left="2160" w:hanging="360"/>
      </w:pPr>
      <w:rPr>
        <w:rFonts w:ascii="Calibri" w:hAnsi="Calibri" w:hint="default"/>
      </w:rPr>
    </w:lvl>
    <w:lvl w:ilvl="3" w:tplc="EA7886FE" w:tentative="1">
      <w:start w:val="1"/>
      <w:numFmt w:val="bullet"/>
      <w:lvlText w:val=" "/>
      <w:lvlJc w:val="left"/>
      <w:pPr>
        <w:tabs>
          <w:tab w:val="num" w:pos="2880"/>
        </w:tabs>
        <w:ind w:left="2880" w:hanging="360"/>
      </w:pPr>
      <w:rPr>
        <w:rFonts w:ascii="Calibri" w:hAnsi="Calibri" w:hint="default"/>
      </w:rPr>
    </w:lvl>
    <w:lvl w:ilvl="4" w:tplc="49EC6F44" w:tentative="1">
      <w:start w:val="1"/>
      <w:numFmt w:val="bullet"/>
      <w:lvlText w:val=" "/>
      <w:lvlJc w:val="left"/>
      <w:pPr>
        <w:tabs>
          <w:tab w:val="num" w:pos="3600"/>
        </w:tabs>
        <w:ind w:left="3600" w:hanging="360"/>
      </w:pPr>
      <w:rPr>
        <w:rFonts w:ascii="Calibri" w:hAnsi="Calibri" w:hint="default"/>
      </w:rPr>
    </w:lvl>
    <w:lvl w:ilvl="5" w:tplc="E1AE5EE4" w:tentative="1">
      <w:start w:val="1"/>
      <w:numFmt w:val="bullet"/>
      <w:lvlText w:val=" "/>
      <w:lvlJc w:val="left"/>
      <w:pPr>
        <w:tabs>
          <w:tab w:val="num" w:pos="4320"/>
        </w:tabs>
        <w:ind w:left="4320" w:hanging="360"/>
      </w:pPr>
      <w:rPr>
        <w:rFonts w:ascii="Calibri" w:hAnsi="Calibri" w:hint="default"/>
      </w:rPr>
    </w:lvl>
    <w:lvl w:ilvl="6" w:tplc="A4DAE6D0" w:tentative="1">
      <w:start w:val="1"/>
      <w:numFmt w:val="bullet"/>
      <w:lvlText w:val=" "/>
      <w:lvlJc w:val="left"/>
      <w:pPr>
        <w:tabs>
          <w:tab w:val="num" w:pos="5040"/>
        </w:tabs>
        <w:ind w:left="5040" w:hanging="360"/>
      </w:pPr>
      <w:rPr>
        <w:rFonts w:ascii="Calibri" w:hAnsi="Calibri" w:hint="default"/>
      </w:rPr>
    </w:lvl>
    <w:lvl w:ilvl="7" w:tplc="6284E056" w:tentative="1">
      <w:start w:val="1"/>
      <w:numFmt w:val="bullet"/>
      <w:lvlText w:val=" "/>
      <w:lvlJc w:val="left"/>
      <w:pPr>
        <w:tabs>
          <w:tab w:val="num" w:pos="5760"/>
        </w:tabs>
        <w:ind w:left="5760" w:hanging="360"/>
      </w:pPr>
      <w:rPr>
        <w:rFonts w:ascii="Calibri" w:hAnsi="Calibri" w:hint="default"/>
      </w:rPr>
    </w:lvl>
    <w:lvl w:ilvl="8" w:tplc="BCD84EB6"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510D2363"/>
    <w:multiLevelType w:val="hybridMultilevel"/>
    <w:tmpl w:val="906E31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C096F"/>
    <w:multiLevelType w:val="hybridMultilevel"/>
    <w:tmpl w:val="4566C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D924CC"/>
    <w:multiLevelType w:val="hybridMultilevel"/>
    <w:tmpl w:val="9C68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E03C2"/>
    <w:multiLevelType w:val="hybridMultilevel"/>
    <w:tmpl w:val="BEBCC0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FFB4BEE"/>
    <w:multiLevelType w:val="hybridMultilevel"/>
    <w:tmpl w:val="66C4FE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242144C"/>
    <w:multiLevelType w:val="multilevel"/>
    <w:tmpl w:val="B03EB7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4326795"/>
    <w:multiLevelType w:val="multilevel"/>
    <w:tmpl w:val="B03EB7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F164865"/>
    <w:multiLevelType w:val="hybridMultilevel"/>
    <w:tmpl w:val="24401382"/>
    <w:lvl w:ilvl="0" w:tplc="A9A49E8E">
      <w:start w:val="1"/>
      <w:numFmt w:val="bullet"/>
      <w:lvlText w:val=" "/>
      <w:lvlJc w:val="left"/>
      <w:pPr>
        <w:tabs>
          <w:tab w:val="num" w:pos="720"/>
        </w:tabs>
        <w:ind w:left="720" w:hanging="360"/>
      </w:pPr>
      <w:rPr>
        <w:rFonts w:ascii="Calibri" w:hAnsi="Calibri" w:hint="default"/>
      </w:rPr>
    </w:lvl>
    <w:lvl w:ilvl="1" w:tplc="59DEFBF6" w:tentative="1">
      <w:start w:val="1"/>
      <w:numFmt w:val="bullet"/>
      <w:lvlText w:val=" "/>
      <w:lvlJc w:val="left"/>
      <w:pPr>
        <w:tabs>
          <w:tab w:val="num" w:pos="1440"/>
        </w:tabs>
        <w:ind w:left="1440" w:hanging="360"/>
      </w:pPr>
      <w:rPr>
        <w:rFonts w:ascii="Calibri" w:hAnsi="Calibri" w:hint="default"/>
      </w:rPr>
    </w:lvl>
    <w:lvl w:ilvl="2" w:tplc="B48CF5EE" w:tentative="1">
      <w:start w:val="1"/>
      <w:numFmt w:val="bullet"/>
      <w:lvlText w:val=" "/>
      <w:lvlJc w:val="left"/>
      <w:pPr>
        <w:tabs>
          <w:tab w:val="num" w:pos="2160"/>
        </w:tabs>
        <w:ind w:left="2160" w:hanging="360"/>
      </w:pPr>
      <w:rPr>
        <w:rFonts w:ascii="Calibri" w:hAnsi="Calibri" w:hint="default"/>
      </w:rPr>
    </w:lvl>
    <w:lvl w:ilvl="3" w:tplc="3D7AE048" w:tentative="1">
      <w:start w:val="1"/>
      <w:numFmt w:val="bullet"/>
      <w:lvlText w:val=" "/>
      <w:lvlJc w:val="left"/>
      <w:pPr>
        <w:tabs>
          <w:tab w:val="num" w:pos="2880"/>
        </w:tabs>
        <w:ind w:left="2880" w:hanging="360"/>
      </w:pPr>
      <w:rPr>
        <w:rFonts w:ascii="Calibri" w:hAnsi="Calibri" w:hint="default"/>
      </w:rPr>
    </w:lvl>
    <w:lvl w:ilvl="4" w:tplc="F000DFB8" w:tentative="1">
      <w:start w:val="1"/>
      <w:numFmt w:val="bullet"/>
      <w:lvlText w:val=" "/>
      <w:lvlJc w:val="left"/>
      <w:pPr>
        <w:tabs>
          <w:tab w:val="num" w:pos="3600"/>
        </w:tabs>
        <w:ind w:left="3600" w:hanging="360"/>
      </w:pPr>
      <w:rPr>
        <w:rFonts w:ascii="Calibri" w:hAnsi="Calibri" w:hint="default"/>
      </w:rPr>
    </w:lvl>
    <w:lvl w:ilvl="5" w:tplc="121E8910" w:tentative="1">
      <w:start w:val="1"/>
      <w:numFmt w:val="bullet"/>
      <w:lvlText w:val=" "/>
      <w:lvlJc w:val="left"/>
      <w:pPr>
        <w:tabs>
          <w:tab w:val="num" w:pos="4320"/>
        </w:tabs>
        <w:ind w:left="4320" w:hanging="360"/>
      </w:pPr>
      <w:rPr>
        <w:rFonts w:ascii="Calibri" w:hAnsi="Calibri" w:hint="default"/>
      </w:rPr>
    </w:lvl>
    <w:lvl w:ilvl="6" w:tplc="B2026E44" w:tentative="1">
      <w:start w:val="1"/>
      <w:numFmt w:val="bullet"/>
      <w:lvlText w:val=" "/>
      <w:lvlJc w:val="left"/>
      <w:pPr>
        <w:tabs>
          <w:tab w:val="num" w:pos="5040"/>
        </w:tabs>
        <w:ind w:left="5040" w:hanging="360"/>
      </w:pPr>
      <w:rPr>
        <w:rFonts w:ascii="Calibri" w:hAnsi="Calibri" w:hint="default"/>
      </w:rPr>
    </w:lvl>
    <w:lvl w:ilvl="7" w:tplc="7E2021FA" w:tentative="1">
      <w:start w:val="1"/>
      <w:numFmt w:val="bullet"/>
      <w:lvlText w:val=" "/>
      <w:lvlJc w:val="left"/>
      <w:pPr>
        <w:tabs>
          <w:tab w:val="num" w:pos="5760"/>
        </w:tabs>
        <w:ind w:left="5760" w:hanging="360"/>
      </w:pPr>
      <w:rPr>
        <w:rFonts w:ascii="Calibri" w:hAnsi="Calibri" w:hint="default"/>
      </w:rPr>
    </w:lvl>
    <w:lvl w:ilvl="8" w:tplc="FD5AEB6E" w:tentative="1">
      <w:start w:val="1"/>
      <w:numFmt w:val="bullet"/>
      <w:lvlText w:val=" "/>
      <w:lvlJc w:val="left"/>
      <w:pPr>
        <w:tabs>
          <w:tab w:val="num" w:pos="6480"/>
        </w:tabs>
        <w:ind w:left="6480" w:hanging="360"/>
      </w:pPr>
      <w:rPr>
        <w:rFonts w:ascii="Calibri" w:hAnsi="Calibri" w:hint="default"/>
      </w:rPr>
    </w:lvl>
  </w:abstractNum>
  <w:num w:numId="1">
    <w:abstractNumId w:val="1"/>
  </w:num>
  <w:num w:numId="2">
    <w:abstractNumId w:val="6"/>
  </w:num>
  <w:num w:numId="3">
    <w:abstractNumId w:val="16"/>
  </w:num>
  <w:num w:numId="4">
    <w:abstractNumId w:val="9"/>
  </w:num>
  <w:num w:numId="5">
    <w:abstractNumId w:val="17"/>
  </w:num>
  <w:num w:numId="6">
    <w:abstractNumId w:val="14"/>
  </w:num>
  <w:num w:numId="7">
    <w:abstractNumId w:val="15"/>
  </w:num>
  <w:num w:numId="8">
    <w:abstractNumId w:val="10"/>
  </w:num>
  <w:num w:numId="9">
    <w:abstractNumId w:val="18"/>
  </w:num>
  <w:num w:numId="10">
    <w:abstractNumId w:val="5"/>
  </w:num>
  <w:num w:numId="11">
    <w:abstractNumId w:val="13"/>
  </w:num>
  <w:num w:numId="12">
    <w:abstractNumId w:val="8"/>
  </w:num>
  <w:num w:numId="13">
    <w:abstractNumId w:val="7"/>
  </w:num>
  <w:num w:numId="14">
    <w:abstractNumId w:val="12"/>
  </w:num>
  <w:num w:numId="15">
    <w:abstractNumId w:val="4"/>
  </w:num>
  <w:num w:numId="16">
    <w:abstractNumId w:val="0"/>
  </w:num>
  <w:num w:numId="17">
    <w:abstractNumId w:val="1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00"/>
    <w:rsid w:val="000017B7"/>
    <w:rsid w:val="00010049"/>
    <w:rsid w:val="000145C0"/>
    <w:rsid w:val="00037BE6"/>
    <w:rsid w:val="000500E8"/>
    <w:rsid w:val="00096CC7"/>
    <w:rsid w:val="000A01F0"/>
    <w:rsid w:val="000B79E6"/>
    <w:rsid w:val="000F46EB"/>
    <w:rsid w:val="00156BCB"/>
    <w:rsid w:val="00156F8E"/>
    <w:rsid w:val="001A2241"/>
    <w:rsid w:val="00213BDD"/>
    <w:rsid w:val="0023018A"/>
    <w:rsid w:val="00281C59"/>
    <w:rsid w:val="002C7025"/>
    <w:rsid w:val="00332D72"/>
    <w:rsid w:val="00382E02"/>
    <w:rsid w:val="003A5300"/>
    <w:rsid w:val="00401832"/>
    <w:rsid w:val="00407AE4"/>
    <w:rsid w:val="004261A3"/>
    <w:rsid w:val="0046407E"/>
    <w:rsid w:val="004C3C8A"/>
    <w:rsid w:val="004D6B40"/>
    <w:rsid w:val="004E476F"/>
    <w:rsid w:val="005136F2"/>
    <w:rsid w:val="00593459"/>
    <w:rsid w:val="005A5ABE"/>
    <w:rsid w:val="005C5099"/>
    <w:rsid w:val="005D655E"/>
    <w:rsid w:val="005F470E"/>
    <w:rsid w:val="006030BD"/>
    <w:rsid w:val="00620013"/>
    <w:rsid w:val="006351DF"/>
    <w:rsid w:val="006515D2"/>
    <w:rsid w:val="006B2FF4"/>
    <w:rsid w:val="006C61F3"/>
    <w:rsid w:val="006F32C9"/>
    <w:rsid w:val="00705D80"/>
    <w:rsid w:val="00717CB3"/>
    <w:rsid w:val="007E2EE5"/>
    <w:rsid w:val="007F075C"/>
    <w:rsid w:val="008411EE"/>
    <w:rsid w:val="008612D8"/>
    <w:rsid w:val="008A50DB"/>
    <w:rsid w:val="008C4DB8"/>
    <w:rsid w:val="008E5797"/>
    <w:rsid w:val="00942F5B"/>
    <w:rsid w:val="009A4E38"/>
    <w:rsid w:val="00A15C82"/>
    <w:rsid w:val="00A15C87"/>
    <w:rsid w:val="00A318B8"/>
    <w:rsid w:val="00AE401D"/>
    <w:rsid w:val="00AF25B8"/>
    <w:rsid w:val="00B10E5F"/>
    <w:rsid w:val="00B46A63"/>
    <w:rsid w:val="00B61C3E"/>
    <w:rsid w:val="00B64F74"/>
    <w:rsid w:val="00BA2CC6"/>
    <w:rsid w:val="00BE2B13"/>
    <w:rsid w:val="00BF6868"/>
    <w:rsid w:val="00C176E8"/>
    <w:rsid w:val="00C1795D"/>
    <w:rsid w:val="00C34DBD"/>
    <w:rsid w:val="00C36D8C"/>
    <w:rsid w:val="00C43B20"/>
    <w:rsid w:val="00CD78D2"/>
    <w:rsid w:val="00D2353B"/>
    <w:rsid w:val="00D45AF5"/>
    <w:rsid w:val="00D63C3A"/>
    <w:rsid w:val="00DB715D"/>
    <w:rsid w:val="00DE2D57"/>
    <w:rsid w:val="00DE7E2F"/>
    <w:rsid w:val="00E86A4E"/>
    <w:rsid w:val="00EA7D3A"/>
    <w:rsid w:val="00ED2C46"/>
    <w:rsid w:val="00EE08E6"/>
    <w:rsid w:val="00F068F3"/>
    <w:rsid w:val="00F35799"/>
    <w:rsid w:val="00F357DF"/>
    <w:rsid w:val="00F83E4F"/>
    <w:rsid w:val="00FD5E19"/>
    <w:rsid w:val="00FE1D9F"/>
    <w:rsid w:val="00FF7F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21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pPr>
      <w:keepNext/>
      <w:jc w:val="right"/>
      <w:outlineLvl w:val="3"/>
    </w:pPr>
    <w:rPr>
      <w:rFonts w:ascii="Palatino" w:eastAsia="Palatino" w:hAnsi="Palatino" w:cs="Palatino"/>
      <w:b/>
      <w:sz w:val="22"/>
      <w:szCs w:val="2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FF7F33"/>
    <w:pPr>
      <w:tabs>
        <w:tab w:val="center" w:pos="4680"/>
        <w:tab w:val="right" w:pos="9360"/>
      </w:tabs>
    </w:pPr>
  </w:style>
  <w:style w:type="character" w:customStyle="1" w:styleId="HeaderChar">
    <w:name w:val="Header Char"/>
    <w:basedOn w:val="DefaultParagraphFont"/>
    <w:link w:val="Header"/>
    <w:uiPriority w:val="99"/>
    <w:rsid w:val="00FF7F33"/>
  </w:style>
  <w:style w:type="paragraph" w:styleId="Footer">
    <w:name w:val="footer"/>
    <w:basedOn w:val="Normal"/>
    <w:link w:val="FooterChar"/>
    <w:uiPriority w:val="99"/>
    <w:unhideWhenUsed/>
    <w:rsid w:val="00FF7F33"/>
    <w:pPr>
      <w:tabs>
        <w:tab w:val="center" w:pos="4680"/>
        <w:tab w:val="right" w:pos="9360"/>
      </w:tabs>
    </w:pPr>
  </w:style>
  <w:style w:type="character" w:customStyle="1" w:styleId="FooterChar">
    <w:name w:val="Footer Char"/>
    <w:basedOn w:val="DefaultParagraphFont"/>
    <w:link w:val="Footer"/>
    <w:uiPriority w:val="99"/>
    <w:rsid w:val="00FF7F33"/>
  </w:style>
  <w:style w:type="paragraph" w:styleId="ListParagraph">
    <w:name w:val="List Paragraph"/>
    <w:basedOn w:val="Normal"/>
    <w:link w:val="ListParagraphChar"/>
    <w:uiPriority w:val="34"/>
    <w:qFormat/>
    <w:rsid w:val="00382E02"/>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link w:val="ListParagraph"/>
    <w:uiPriority w:val="34"/>
    <w:locked/>
    <w:rsid w:val="00382E02"/>
    <w:rPr>
      <w:rFonts w:asciiTheme="minorHAnsi" w:eastAsiaTheme="minorHAnsi" w:hAnsiTheme="minorHAnsi" w:cstheme="minorBidi"/>
      <w:sz w:val="22"/>
      <w:szCs w:val="22"/>
      <w:lang w:val="en-US"/>
    </w:rPr>
  </w:style>
  <w:style w:type="table" w:styleId="TableGrid">
    <w:name w:val="Table Grid"/>
    <w:basedOn w:val="TableNormal"/>
    <w:uiPriority w:val="59"/>
    <w:rsid w:val="000B79E6"/>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70E"/>
    <w:rPr>
      <w:rFonts w:ascii="Segoe UI" w:hAnsi="Segoe UI" w:cs="Segoe UI"/>
      <w:sz w:val="18"/>
      <w:szCs w:val="18"/>
    </w:rPr>
  </w:style>
  <w:style w:type="character" w:styleId="Hyperlink">
    <w:name w:val="Hyperlink"/>
    <w:rsid w:val="00A31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65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yed@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Saliha Ramay</dc:creator>
  <cp:lastModifiedBy>Windows User</cp:lastModifiedBy>
  <cp:revision>4</cp:revision>
  <cp:lastPrinted>2019-07-18T11:22:00Z</cp:lastPrinted>
  <dcterms:created xsi:type="dcterms:W3CDTF">2019-07-25T05:07:00Z</dcterms:created>
  <dcterms:modified xsi:type="dcterms:W3CDTF">2019-07-31T04:22:00Z</dcterms:modified>
</cp:coreProperties>
</file>